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B23" w:rsidRPr="0041405A" w:rsidRDefault="0048249A" w:rsidP="00C77C14">
      <w:pPr>
        <w:pStyle w:val="Titolo"/>
        <w:pageBreakBefore/>
        <w:spacing w:before="0" w:after="100" w:afterAutospacing="1" w:line="240" w:lineRule="auto"/>
        <w:rPr>
          <w:rFonts w:ascii="Titillium" w:hAnsi="Titillium"/>
          <w:sz w:val="20"/>
          <w:szCs w:val="20"/>
        </w:rPr>
      </w:pPr>
      <w:r w:rsidRPr="0041405A">
        <w:rPr>
          <w:rFonts w:ascii="Titillium" w:hAnsi="Titillium"/>
          <w:sz w:val="20"/>
          <w:szCs w:val="20"/>
        </w:rPr>
        <w:t xml:space="preserve">Scheda di sintesi sulla rilevazione degli OIV o </w:t>
      </w:r>
      <w:r w:rsidR="009A5646" w:rsidRPr="0041405A">
        <w:rPr>
          <w:rFonts w:ascii="Titillium" w:hAnsi="Titillium"/>
          <w:sz w:val="20"/>
          <w:szCs w:val="20"/>
        </w:rPr>
        <w:t>organismi con funzioni analoghe</w:t>
      </w:r>
    </w:p>
    <w:p w:rsidR="00ED7476" w:rsidRDefault="00ED7476" w:rsidP="00A5733C">
      <w:pPr>
        <w:pStyle w:val="Paragrafoelenco"/>
        <w:spacing w:after="0" w:line="240" w:lineRule="auto"/>
        <w:ind w:left="0" w:firstLine="0"/>
        <w:rPr>
          <w:rFonts w:ascii="Titillium" w:hAnsi="Titillium"/>
          <w:b/>
          <w:i/>
          <w:sz w:val="20"/>
          <w:szCs w:val="20"/>
        </w:rPr>
      </w:pPr>
    </w:p>
    <w:p w:rsidR="001237BD" w:rsidRDefault="001237BD" w:rsidP="00A5733C">
      <w:pPr>
        <w:pStyle w:val="Paragrafoelenco"/>
        <w:spacing w:after="0" w:line="240" w:lineRule="auto"/>
        <w:ind w:left="0" w:firstLine="0"/>
        <w:rPr>
          <w:rFonts w:ascii="Titillium" w:hAnsi="Titillium"/>
          <w:b/>
          <w:i/>
          <w:sz w:val="20"/>
          <w:szCs w:val="20"/>
        </w:rPr>
      </w:pPr>
    </w:p>
    <w:p w:rsidR="001237BD" w:rsidRDefault="001237BD" w:rsidP="00A5733C">
      <w:pPr>
        <w:pStyle w:val="Paragrafoelenco"/>
        <w:spacing w:after="0" w:line="240" w:lineRule="auto"/>
        <w:ind w:left="0" w:firstLine="0"/>
        <w:rPr>
          <w:rFonts w:ascii="Titillium" w:hAnsi="Titillium"/>
          <w:b/>
          <w:i/>
          <w:sz w:val="20"/>
          <w:szCs w:val="20"/>
        </w:rPr>
      </w:pPr>
    </w:p>
    <w:p w:rsidR="001237BD" w:rsidRDefault="001237BD" w:rsidP="00A5733C">
      <w:pPr>
        <w:pStyle w:val="Paragrafoelenco"/>
        <w:spacing w:after="0" w:line="240" w:lineRule="auto"/>
        <w:ind w:left="0" w:firstLine="0"/>
        <w:rPr>
          <w:rFonts w:ascii="Titillium" w:hAnsi="Titillium"/>
          <w:b/>
          <w:i/>
          <w:sz w:val="20"/>
          <w:szCs w:val="20"/>
        </w:rPr>
      </w:pPr>
    </w:p>
    <w:p w:rsidR="00C27B23" w:rsidRPr="0041405A" w:rsidRDefault="0048249A" w:rsidP="00A5733C">
      <w:pPr>
        <w:pStyle w:val="Paragrafoelenco"/>
        <w:spacing w:after="0" w:line="240" w:lineRule="auto"/>
        <w:ind w:left="0" w:firstLine="0"/>
        <w:rPr>
          <w:rFonts w:ascii="Titillium" w:hAnsi="Titillium"/>
          <w:b/>
          <w:i/>
          <w:sz w:val="20"/>
          <w:szCs w:val="20"/>
        </w:rPr>
      </w:pPr>
      <w:r w:rsidRPr="0041405A">
        <w:rPr>
          <w:rFonts w:ascii="Titillium" w:hAnsi="Titillium"/>
          <w:b/>
          <w:i/>
          <w:sz w:val="20"/>
          <w:szCs w:val="20"/>
        </w:rPr>
        <w:t>Data di svolgimento della rilevazione</w:t>
      </w:r>
    </w:p>
    <w:p w:rsidR="00A5733C" w:rsidRDefault="00A5733C" w:rsidP="00A5733C">
      <w:pPr>
        <w:spacing w:after="0" w:line="240" w:lineRule="auto"/>
        <w:rPr>
          <w:rFonts w:ascii="Titillium" w:hAnsi="Titillium"/>
          <w:sz w:val="20"/>
          <w:szCs w:val="20"/>
        </w:rPr>
      </w:pPr>
    </w:p>
    <w:p w:rsidR="009546D9" w:rsidRPr="000137CD" w:rsidRDefault="009546D9" w:rsidP="00A5733C">
      <w:pPr>
        <w:spacing w:after="0" w:line="240" w:lineRule="auto"/>
        <w:rPr>
          <w:rFonts w:ascii="Titillium" w:hAnsi="Titillium"/>
          <w:sz w:val="20"/>
          <w:szCs w:val="20"/>
        </w:rPr>
      </w:pPr>
      <w:r w:rsidRPr="000137CD">
        <w:rPr>
          <w:rFonts w:ascii="Titillium" w:hAnsi="Titillium"/>
          <w:sz w:val="20"/>
          <w:szCs w:val="20"/>
        </w:rPr>
        <w:t xml:space="preserve">Il Collegio di direzione dell’Ufficio controllo interno, trasparenza e integrità (UCI) della Presidenza del Consiglio dei </w:t>
      </w:r>
      <w:r w:rsidR="008D47B0">
        <w:rPr>
          <w:rFonts w:ascii="Titillium" w:hAnsi="Titillium"/>
          <w:sz w:val="20"/>
          <w:szCs w:val="20"/>
        </w:rPr>
        <w:t>m</w:t>
      </w:r>
      <w:r w:rsidRPr="000137CD">
        <w:rPr>
          <w:rFonts w:ascii="Titillium" w:hAnsi="Titillium"/>
          <w:sz w:val="20"/>
          <w:szCs w:val="20"/>
        </w:rPr>
        <w:t xml:space="preserve">inistri </w:t>
      </w:r>
      <w:r>
        <w:rPr>
          <w:rFonts w:ascii="Titillium" w:hAnsi="Titillium"/>
          <w:sz w:val="20"/>
          <w:szCs w:val="20"/>
        </w:rPr>
        <w:t xml:space="preserve">(PCM) </w:t>
      </w:r>
      <w:r w:rsidRPr="000137CD">
        <w:rPr>
          <w:rFonts w:ascii="Titillium" w:hAnsi="Titillium"/>
          <w:sz w:val="20"/>
          <w:szCs w:val="20"/>
        </w:rPr>
        <w:t>si è riunito il</w:t>
      </w:r>
      <w:r>
        <w:rPr>
          <w:rFonts w:ascii="Titillium" w:hAnsi="Titillium"/>
          <w:sz w:val="20"/>
          <w:szCs w:val="20"/>
        </w:rPr>
        <w:t xml:space="preserve"> </w:t>
      </w:r>
      <w:r w:rsidR="008D5AE8">
        <w:rPr>
          <w:rFonts w:ascii="Titillium" w:hAnsi="Titillium"/>
          <w:sz w:val="20"/>
          <w:szCs w:val="20"/>
        </w:rPr>
        <w:t>4 e il 1</w:t>
      </w:r>
      <w:r w:rsidR="00F06C65">
        <w:rPr>
          <w:rFonts w:ascii="Titillium" w:hAnsi="Titillium"/>
          <w:sz w:val="20"/>
          <w:szCs w:val="20"/>
        </w:rPr>
        <w:t>2 maggio 2</w:t>
      </w:r>
      <w:r>
        <w:rPr>
          <w:rFonts w:ascii="Titillium" w:hAnsi="Titillium"/>
          <w:sz w:val="20"/>
          <w:szCs w:val="20"/>
        </w:rPr>
        <w:t>022</w:t>
      </w:r>
      <w:r w:rsidRPr="000137CD">
        <w:rPr>
          <w:rFonts w:ascii="Titillium" w:hAnsi="Titillium"/>
          <w:sz w:val="20"/>
          <w:szCs w:val="20"/>
        </w:rPr>
        <w:t xml:space="preserve"> per la redazione della “</w:t>
      </w:r>
      <w:r w:rsidRPr="008D47B0">
        <w:rPr>
          <w:rFonts w:ascii="Titillium" w:hAnsi="Titillium"/>
          <w:i/>
          <w:sz w:val="20"/>
          <w:szCs w:val="20"/>
        </w:rPr>
        <w:t>Relazione di attestazione sull’assolvimento degli obblighi di pubblicazione al 31 maggio 202</w:t>
      </w:r>
      <w:r w:rsidR="0018684A">
        <w:rPr>
          <w:rFonts w:ascii="Titillium" w:hAnsi="Titillium"/>
          <w:i/>
          <w:sz w:val="20"/>
          <w:szCs w:val="20"/>
        </w:rPr>
        <w:t>2</w:t>
      </w:r>
      <w:bookmarkStart w:id="0" w:name="_GoBack"/>
      <w:bookmarkEnd w:id="0"/>
      <w:r w:rsidRPr="008D47B0">
        <w:rPr>
          <w:rFonts w:ascii="Titillium" w:hAnsi="Titillium"/>
          <w:i/>
          <w:sz w:val="20"/>
          <w:szCs w:val="20"/>
        </w:rPr>
        <w:t xml:space="preserve"> della Presidenza del Consiglio dei </w:t>
      </w:r>
      <w:r w:rsidR="008D47B0">
        <w:rPr>
          <w:rFonts w:ascii="Titillium" w:hAnsi="Titillium"/>
          <w:i/>
          <w:sz w:val="20"/>
          <w:szCs w:val="20"/>
        </w:rPr>
        <w:t>m</w:t>
      </w:r>
      <w:r w:rsidRPr="008D47B0">
        <w:rPr>
          <w:rFonts w:ascii="Titillium" w:hAnsi="Titillium"/>
          <w:i/>
          <w:sz w:val="20"/>
          <w:szCs w:val="20"/>
        </w:rPr>
        <w:t>inistri (PCM)</w:t>
      </w:r>
      <w:r w:rsidRPr="000137CD">
        <w:rPr>
          <w:rFonts w:ascii="Titillium" w:hAnsi="Titillium"/>
          <w:sz w:val="20"/>
          <w:szCs w:val="20"/>
        </w:rPr>
        <w:t>” e dei relativi allegati, come previsto dalla Delibera ANAC n. 2</w:t>
      </w:r>
      <w:r>
        <w:rPr>
          <w:rFonts w:ascii="Titillium" w:hAnsi="Titillium"/>
          <w:sz w:val="20"/>
          <w:szCs w:val="20"/>
        </w:rPr>
        <w:t>01</w:t>
      </w:r>
      <w:r w:rsidRPr="000137CD">
        <w:rPr>
          <w:rFonts w:ascii="Titillium" w:hAnsi="Titillium"/>
          <w:sz w:val="20"/>
          <w:szCs w:val="20"/>
        </w:rPr>
        <w:t xml:space="preserve"> del 13 aprile 202</w:t>
      </w:r>
      <w:r>
        <w:rPr>
          <w:rFonts w:ascii="Titillium" w:hAnsi="Titillium"/>
          <w:sz w:val="20"/>
          <w:szCs w:val="20"/>
        </w:rPr>
        <w:t>2</w:t>
      </w:r>
      <w:r w:rsidRPr="000137CD">
        <w:rPr>
          <w:rFonts w:ascii="Titillium" w:hAnsi="Titillium"/>
          <w:sz w:val="20"/>
          <w:szCs w:val="20"/>
        </w:rPr>
        <w:t xml:space="preserve">, avendo svolto le attività di rilevazione, ai fini dell’attestazione, nel periodo compreso tra il </w:t>
      </w:r>
      <w:r w:rsidR="00F06C65">
        <w:rPr>
          <w:rFonts w:ascii="Titillium" w:hAnsi="Titillium"/>
          <w:sz w:val="20"/>
          <w:szCs w:val="20"/>
        </w:rPr>
        <w:t xml:space="preserve">2 maggio </w:t>
      </w:r>
      <w:r>
        <w:rPr>
          <w:rFonts w:ascii="Titillium" w:hAnsi="Titillium"/>
          <w:sz w:val="20"/>
          <w:szCs w:val="20"/>
        </w:rPr>
        <w:t>202</w:t>
      </w:r>
      <w:r w:rsidR="00F06C65">
        <w:rPr>
          <w:rFonts w:ascii="Titillium" w:hAnsi="Titillium"/>
          <w:sz w:val="20"/>
          <w:szCs w:val="20"/>
        </w:rPr>
        <w:t>2</w:t>
      </w:r>
      <w:r>
        <w:rPr>
          <w:rFonts w:ascii="Titillium" w:hAnsi="Titillium"/>
          <w:sz w:val="20"/>
          <w:szCs w:val="20"/>
        </w:rPr>
        <w:t xml:space="preserve"> </w:t>
      </w:r>
      <w:r w:rsidRPr="000137CD">
        <w:rPr>
          <w:rFonts w:ascii="Titillium" w:hAnsi="Titillium"/>
          <w:sz w:val="20"/>
          <w:szCs w:val="20"/>
        </w:rPr>
        <w:t>e la data odierna.</w:t>
      </w:r>
    </w:p>
    <w:p w:rsidR="00C27B23" w:rsidRPr="0041405A" w:rsidRDefault="00C27B23" w:rsidP="00A5733C">
      <w:pPr>
        <w:pStyle w:val="Paragrafoelenco"/>
        <w:spacing w:after="0" w:line="240" w:lineRule="auto"/>
        <w:ind w:left="0" w:firstLine="0"/>
        <w:rPr>
          <w:rFonts w:ascii="Titillium" w:hAnsi="Titillium"/>
          <w:sz w:val="20"/>
          <w:szCs w:val="20"/>
        </w:rPr>
      </w:pPr>
    </w:p>
    <w:p w:rsidR="00C27B23" w:rsidRPr="0041405A" w:rsidRDefault="0048249A" w:rsidP="00A5733C">
      <w:pPr>
        <w:pStyle w:val="Paragrafoelenco"/>
        <w:spacing w:after="0" w:line="240" w:lineRule="auto"/>
        <w:ind w:left="0" w:firstLine="0"/>
        <w:rPr>
          <w:rFonts w:ascii="Titillium" w:hAnsi="Titillium"/>
          <w:b/>
          <w:i/>
          <w:sz w:val="20"/>
          <w:szCs w:val="20"/>
        </w:rPr>
      </w:pPr>
      <w:r w:rsidRPr="0041405A">
        <w:rPr>
          <w:rFonts w:ascii="Titillium" w:hAnsi="Titillium"/>
          <w:b/>
          <w:i/>
          <w:sz w:val="20"/>
          <w:szCs w:val="20"/>
        </w:rPr>
        <w:t xml:space="preserve">Estensione della rilevazione (nel </w:t>
      </w:r>
      <w:r w:rsidR="00FC7906" w:rsidRPr="0041405A">
        <w:rPr>
          <w:rFonts w:ascii="Titillium" w:hAnsi="Titillium"/>
          <w:b/>
          <w:i/>
          <w:sz w:val="20"/>
          <w:szCs w:val="20"/>
        </w:rPr>
        <w:t xml:space="preserve">solo </w:t>
      </w:r>
      <w:r w:rsidRPr="0041405A">
        <w:rPr>
          <w:rFonts w:ascii="Titillium" w:hAnsi="Titillium"/>
          <w:b/>
          <w:i/>
          <w:sz w:val="20"/>
          <w:szCs w:val="20"/>
        </w:rPr>
        <w:t>caso di ammin</w:t>
      </w:r>
      <w:r w:rsidR="007A107C" w:rsidRPr="0041405A">
        <w:rPr>
          <w:rFonts w:ascii="Titillium" w:hAnsi="Titillium"/>
          <w:b/>
          <w:i/>
          <w:sz w:val="20"/>
          <w:szCs w:val="20"/>
        </w:rPr>
        <w:t>istrazioni</w:t>
      </w:r>
      <w:r w:rsidR="00FC7906" w:rsidRPr="0041405A">
        <w:rPr>
          <w:rFonts w:ascii="Titillium" w:hAnsi="Titillium"/>
          <w:b/>
          <w:i/>
          <w:sz w:val="20"/>
          <w:szCs w:val="20"/>
        </w:rPr>
        <w:t>/enti</w:t>
      </w:r>
      <w:r w:rsidR="007A107C" w:rsidRPr="0041405A">
        <w:rPr>
          <w:rFonts w:ascii="Titillium" w:hAnsi="Titillium"/>
          <w:b/>
          <w:i/>
          <w:sz w:val="20"/>
          <w:szCs w:val="20"/>
        </w:rPr>
        <w:t xml:space="preserve"> con uffici periferici)</w:t>
      </w:r>
    </w:p>
    <w:p w:rsidR="00C27B23" w:rsidRPr="0041405A" w:rsidRDefault="00C27B23" w:rsidP="00A5733C">
      <w:pPr>
        <w:pStyle w:val="Paragrafoelenco"/>
        <w:spacing w:after="0" w:line="240" w:lineRule="auto"/>
        <w:ind w:left="0" w:firstLine="0"/>
        <w:rPr>
          <w:rFonts w:ascii="Titillium" w:hAnsi="Titillium"/>
          <w:b/>
          <w:sz w:val="20"/>
          <w:szCs w:val="20"/>
          <w:u w:val="single"/>
        </w:rPr>
      </w:pPr>
    </w:p>
    <w:p w:rsidR="009546D9" w:rsidRPr="000137CD" w:rsidRDefault="009546D9" w:rsidP="00A5733C">
      <w:pPr>
        <w:spacing w:after="0" w:line="240" w:lineRule="auto"/>
        <w:rPr>
          <w:rFonts w:ascii="Titillium" w:hAnsi="Titillium"/>
          <w:sz w:val="20"/>
          <w:szCs w:val="20"/>
        </w:rPr>
      </w:pPr>
      <w:r w:rsidRPr="000137CD">
        <w:rPr>
          <w:rFonts w:ascii="Titillium" w:hAnsi="Titillium"/>
          <w:sz w:val="20"/>
          <w:szCs w:val="20"/>
        </w:rPr>
        <w:t>La PCM non ha uffici periferici.</w:t>
      </w:r>
    </w:p>
    <w:p w:rsidR="00C27B23" w:rsidRPr="0041405A" w:rsidRDefault="00C27B23" w:rsidP="00A5733C">
      <w:pPr>
        <w:pStyle w:val="Paragrafoelenco"/>
        <w:spacing w:after="0" w:line="240" w:lineRule="auto"/>
        <w:ind w:left="720" w:firstLine="0"/>
        <w:rPr>
          <w:rFonts w:ascii="Titillium" w:hAnsi="Titillium"/>
          <w:sz w:val="20"/>
          <w:szCs w:val="20"/>
        </w:rPr>
      </w:pPr>
    </w:p>
    <w:p w:rsidR="00C27B23" w:rsidRDefault="0048249A" w:rsidP="00A5733C">
      <w:pPr>
        <w:pStyle w:val="Paragrafoelenco"/>
        <w:spacing w:after="0" w:line="240" w:lineRule="auto"/>
        <w:ind w:left="0" w:firstLine="0"/>
        <w:rPr>
          <w:rFonts w:ascii="Titillium" w:hAnsi="Titillium"/>
          <w:b/>
          <w:i/>
          <w:sz w:val="20"/>
          <w:szCs w:val="20"/>
        </w:rPr>
      </w:pPr>
      <w:r w:rsidRPr="0041405A">
        <w:rPr>
          <w:rFonts w:ascii="Titillium" w:hAnsi="Titillium"/>
          <w:b/>
          <w:i/>
          <w:sz w:val="20"/>
          <w:szCs w:val="20"/>
        </w:rPr>
        <w:t xml:space="preserve">Procedure e modalità seguite per la rilevazione </w:t>
      </w:r>
    </w:p>
    <w:p w:rsidR="004E3C45" w:rsidRDefault="004E3C45" w:rsidP="00A5733C">
      <w:pPr>
        <w:spacing w:after="0" w:line="240" w:lineRule="auto"/>
        <w:rPr>
          <w:rFonts w:ascii="Titillium" w:hAnsi="Titillium"/>
          <w:sz w:val="20"/>
          <w:szCs w:val="20"/>
        </w:rPr>
      </w:pPr>
    </w:p>
    <w:p w:rsidR="009546D9" w:rsidRPr="000137CD" w:rsidRDefault="009546D9" w:rsidP="00A5733C">
      <w:pPr>
        <w:spacing w:after="0" w:line="240" w:lineRule="auto"/>
        <w:rPr>
          <w:rFonts w:ascii="Titillium" w:hAnsi="Titillium"/>
          <w:sz w:val="20"/>
          <w:szCs w:val="20"/>
        </w:rPr>
      </w:pPr>
      <w:r w:rsidRPr="000137CD">
        <w:rPr>
          <w:rFonts w:ascii="Titillium" w:hAnsi="Titillium"/>
          <w:sz w:val="20"/>
          <w:szCs w:val="20"/>
        </w:rPr>
        <w:t xml:space="preserve">Il Collegio ha dapprima </w:t>
      </w:r>
      <w:r>
        <w:rPr>
          <w:rFonts w:ascii="Titillium" w:hAnsi="Titillium"/>
          <w:sz w:val="20"/>
          <w:szCs w:val="20"/>
        </w:rPr>
        <w:t xml:space="preserve">esaminato la </w:t>
      </w:r>
      <w:r w:rsidR="008D47B0">
        <w:rPr>
          <w:rFonts w:ascii="Titillium" w:hAnsi="Titillium"/>
          <w:sz w:val="20"/>
          <w:szCs w:val="20"/>
        </w:rPr>
        <w:t>D</w:t>
      </w:r>
      <w:r>
        <w:rPr>
          <w:rFonts w:ascii="Titillium" w:hAnsi="Titillium"/>
          <w:sz w:val="20"/>
          <w:szCs w:val="20"/>
        </w:rPr>
        <w:t xml:space="preserve">elibera ANAC </w:t>
      </w:r>
      <w:r w:rsidR="008D47B0">
        <w:rPr>
          <w:rFonts w:ascii="Titillium" w:hAnsi="Titillium"/>
          <w:sz w:val="20"/>
          <w:szCs w:val="20"/>
        </w:rPr>
        <w:t xml:space="preserve">n. </w:t>
      </w:r>
      <w:r>
        <w:rPr>
          <w:rFonts w:ascii="Titillium" w:hAnsi="Titillium"/>
          <w:sz w:val="20"/>
          <w:szCs w:val="20"/>
        </w:rPr>
        <w:t xml:space="preserve">201/2022 e, quindi, </w:t>
      </w:r>
      <w:r w:rsidRPr="000137CD">
        <w:rPr>
          <w:rFonts w:ascii="Titillium" w:hAnsi="Titillium"/>
          <w:sz w:val="20"/>
          <w:szCs w:val="20"/>
        </w:rPr>
        <w:t>confrontato, antecedentemente al 31 maggio 202</w:t>
      </w:r>
      <w:r>
        <w:rPr>
          <w:rFonts w:ascii="Titillium" w:hAnsi="Titillium"/>
          <w:sz w:val="20"/>
          <w:szCs w:val="20"/>
        </w:rPr>
        <w:t>2</w:t>
      </w:r>
      <w:r w:rsidRPr="000137CD">
        <w:rPr>
          <w:rFonts w:ascii="Titillium" w:hAnsi="Titillium"/>
          <w:sz w:val="20"/>
          <w:szCs w:val="20"/>
        </w:rPr>
        <w:t>, gli obblighi di pubblicazione da attestare sulla base della griglia di rilevazione in allegato della citata Delibera e la mappatura degli obblighi di pubblic</w:t>
      </w:r>
      <w:r w:rsidR="008D47B0">
        <w:rPr>
          <w:rFonts w:ascii="Titillium" w:hAnsi="Titillium"/>
          <w:sz w:val="20"/>
          <w:szCs w:val="20"/>
        </w:rPr>
        <w:t>ità</w:t>
      </w:r>
      <w:r w:rsidRPr="000137CD">
        <w:rPr>
          <w:rFonts w:ascii="Titillium" w:hAnsi="Titillium"/>
          <w:sz w:val="20"/>
          <w:szCs w:val="20"/>
        </w:rPr>
        <w:t xml:space="preserve"> della PCM. </w:t>
      </w:r>
    </w:p>
    <w:p w:rsidR="009546D9" w:rsidRPr="000137CD" w:rsidRDefault="008D47B0" w:rsidP="00A5733C">
      <w:pPr>
        <w:spacing w:after="0" w:line="240" w:lineRule="auto"/>
        <w:rPr>
          <w:rFonts w:ascii="Titillium" w:hAnsi="Titillium"/>
          <w:sz w:val="20"/>
          <w:szCs w:val="20"/>
        </w:rPr>
      </w:pPr>
      <w:r>
        <w:rPr>
          <w:rFonts w:ascii="Titillium" w:hAnsi="Titillium"/>
          <w:sz w:val="20"/>
          <w:szCs w:val="20"/>
        </w:rPr>
        <w:t>S</w:t>
      </w:r>
      <w:r w:rsidR="009546D9" w:rsidRPr="000137CD">
        <w:rPr>
          <w:rFonts w:ascii="Titillium" w:hAnsi="Titillium"/>
          <w:sz w:val="20"/>
          <w:szCs w:val="20"/>
        </w:rPr>
        <w:t>uccessivamente</w:t>
      </w:r>
      <w:r>
        <w:rPr>
          <w:rFonts w:ascii="Titillium" w:hAnsi="Titillium"/>
          <w:sz w:val="20"/>
          <w:szCs w:val="20"/>
        </w:rPr>
        <w:t xml:space="preserve">, </w:t>
      </w:r>
      <w:r w:rsidRPr="000137CD">
        <w:rPr>
          <w:rFonts w:ascii="Titillium" w:hAnsi="Titillium"/>
          <w:sz w:val="20"/>
          <w:szCs w:val="20"/>
        </w:rPr>
        <w:t>il 31 maggio 202</w:t>
      </w:r>
      <w:r>
        <w:rPr>
          <w:rFonts w:ascii="Titillium" w:hAnsi="Titillium"/>
          <w:sz w:val="20"/>
          <w:szCs w:val="20"/>
        </w:rPr>
        <w:t>2</w:t>
      </w:r>
      <w:r w:rsidRPr="000137CD">
        <w:rPr>
          <w:rFonts w:ascii="Titillium" w:hAnsi="Titillium"/>
          <w:sz w:val="20"/>
          <w:szCs w:val="20"/>
        </w:rPr>
        <w:t xml:space="preserve"> </w:t>
      </w:r>
      <w:r>
        <w:rPr>
          <w:rFonts w:ascii="Titillium" w:hAnsi="Titillium"/>
          <w:sz w:val="20"/>
          <w:szCs w:val="20"/>
        </w:rPr>
        <w:t xml:space="preserve">ha </w:t>
      </w:r>
      <w:r w:rsidR="009546D9" w:rsidRPr="000137CD">
        <w:rPr>
          <w:rFonts w:ascii="Titillium" w:hAnsi="Titillium"/>
          <w:sz w:val="20"/>
          <w:szCs w:val="20"/>
        </w:rPr>
        <w:t xml:space="preserve">provveduto a </w:t>
      </w:r>
      <w:r w:rsidR="009546D9">
        <w:rPr>
          <w:rFonts w:ascii="Titillium" w:hAnsi="Titillium"/>
          <w:sz w:val="20"/>
          <w:szCs w:val="20"/>
        </w:rPr>
        <w:t xml:space="preserve">far </w:t>
      </w:r>
      <w:r w:rsidR="009546D9" w:rsidRPr="000137CD">
        <w:rPr>
          <w:rFonts w:ascii="Titillium" w:hAnsi="Titillium"/>
          <w:sz w:val="20"/>
          <w:szCs w:val="20"/>
        </w:rPr>
        <w:t>estrarre e conservare</w:t>
      </w:r>
      <w:r w:rsidR="009546D9">
        <w:rPr>
          <w:rFonts w:ascii="Titillium" w:hAnsi="Titillium"/>
          <w:sz w:val="20"/>
          <w:szCs w:val="20"/>
        </w:rPr>
        <w:t>,</w:t>
      </w:r>
      <w:r w:rsidR="009546D9" w:rsidRPr="000137CD">
        <w:rPr>
          <w:rFonts w:ascii="Titillium" w:hAnsi="Titillium"/>
          <w:sz w:val="20"/>
          <w:szCs w:val="20"/>
        </w:rPr>
        <w:t xml:space="preserve"> in apposita cartella </w:t>
      </w:r>
      <w:r w:rsidR="009546D9">
        <w:rPr>
          <w:rFonts w:ascii="Titillium" w:hAnsi="Titillium"/>
          <w:sz w:val="20"/>
          <w:szCs w:val="20"/>
        </w:rPr>
        <w:t xml:space="preserve">condivisa </w:t>
      </w:r>
      <w:r>
        <w:rPr>
          <w:rFonts w:ascii="Titillium" w:hAnsi="Titillium"/>
          <w:sz w:val="20"/>
          <w:szCs w:val="20"/>
        </w:rPr>
        <w:t xml:space="preserve">tra </w:t>
      </w:r>
      <w:r w:rsidR="009546D9">
        <w:rPr>
          <w:rFonts w:ascii="Titillium" w:hAnsi="Titillium"/>
          <w:sz w:val="20"/>
          <w:szCs w:val="20"/>
        </w:rPr>
        <w:t xml:space="preserve">i soli componenti del Collegio, </w:t>
      </w:r>
      <w:r w:rsidR="009546D9" w:rsidRPr="000137CD">
        <w:rPr>
          <w:rFonts w:ascii="Titillium" w:hAnsi="Titillium"/>
          <w:sz w:val="20"/>
          <w:szCs w:val="20"/>
        </w:rPr>
        <w:t xml:space="preserve">le sottosezioni della sezione “Amministrazione trasparente” oggetto di attestazione. </w:t>
      </w:r>
    </w:p>
    <w:p w:rsidR="009546D9" w:rsidRPr="000137CD" w:rsidRDefault="009546D9" w:rsidP="00A5733C">
      <w:pPr>
        <w:spacing w:after="0" w:line="240" w:lineRule="auto"/>
        <w:rPr>
          <w:rFonts w:ascii="Titillium" w:hAnsi="Titillium"/>
          <w:sz w:val="20"/>
          <w:szCs w:val="20"/>
        </w:rPr>
      </w:pPr>
      <w:proofErr w:type="gramStart"/>
      <w:r w:rsidRPr="000137CD">
        <w:rPr>
          <w:rFonts w:ascii="Titillium" w:hAnsi="Titillium"/>
          <w:sz w:val="20"/>
          <w:szCs w:val="20"/>
        </w:rPr>
        <w:t>E’</w:t>
      </w:r>
      <w:proofErr w:type="gramEnd"/>
      <w:r w:rsidR="00606B37">
        <w:rPr>
          <w:rFonts w:ascii="Titillium" w:hAnsi="Titillium"/>
          <w:sz w:val="20"/>
          <w:szCs w:val="20"/>
        </w:rPr>
        <w:t xml:space="preserve"> </w:t>
      </w:r>
      <w:r w:rsidR="00341ACB">
        <w:rPr>
          <w:rFonts w:ascii="Titillium" w:hAnsi="Titillium"/>
          <w:sz w:val="20"/>
          <w:szCs w:val="20"/>
        </w:rPr>
        <w:t>s</w:t>
      </w:r>
      <w:r w:rsidRPr="000137CD">
        <w:rPr>
          <w:rFonts w:ascii="Titillium" w:hAnsi="Titillium"/>
          <w:sz w:val="20"/>
          <w:szCs w:val="20"/>
        </w:rPr>
        <w:t>tata quindi effettuata una verifica dei dati, informazioni e documenti presenti nelle sottosezioni della sezione “Amministrazione trasparente” afferenti agli obblighi di pubblicazione oggetto di attestazione, sulla base delle disposizioni contenute nella Delibera ANAC n. 2</w:t>
      </w:r>
      <w:r>
        <w:rPr>
          <w:rFonts w:ascii="Titillium" w:hAnsi="Titillium"/>
          <w:sz w:val="20"/>
          <w:szCs w:val="20"/>
        </w:rPr>
        <w:t>01</w:t>
      </w:r>
      <w:r w:rsidRPr="000137CD">
        <w:rPr>
          <w:rFonts w:ascii="Titillium" w:hAnsi="Titillium"/>
          <w:sz w:val="20"/>
          <w:szCs w:val="20"/>
        </w:rPr>
        <w:t>/202</w:t>
      </w:r>
      <w:r>
        <w:rPr>
          <w:rFonts w:ascii="Titillium" w:hAnsi="Titillium"/>
          <w:sz w:val="20"/>
          <w:szCs w:val="20"/>
        </w:rPr>
        <w:t>2</w:t>
      </w:r>
      <w:r w:rsidRPr="000137CD">
        <w:rPr>
          <w:rFonts w:ascii="Titillium" w:hAnsi="Titillium"/>
          <w:sz w:val="20"/>
          <w:szCs w:val="20"/>
        </w:rPr>
        <w:t xml:space="preserve"> e dei relativi allegati n. </w:t>
      </w:r>
      <w:r w:rsidR="00BB4624">
        <w:rPr>
          <w:rFonts w:ascii="Titillium" w:hAnsi="Titillium"/>
          <w:sz w:val="20"/>
          <w:szCs w:val="20"/>
        </w:rPr>
        <w:t>1.1, 2.1, 3</w:t>
      </w:r>
      <w:r w:rsidR="006A3B9C">
        <w:rPr>
          <w:rFonts w:ascii="Titillium" w:hAnsi="Titillium"/>
          <w:sz w:val="20"/>
          <w:szCs w:val="20"/>
        </w:rPr>
        <w:t>, 4</w:t>
      </w:r>
      <w:r w:rsidR="00BB4624">
        <w:rPr>
          <w:rFonts w:ascii="Titillium" w:hAnsi="Titillium"/>
          <w:sz w:val="20"/>
          <w:szCs w:val="20"/>
        </w:rPr>
        <w:t xml:space="preserve"> e </w:t>
      </w:r>
      <w:r w:rsidR="006A3B9C">
        <w:rPr>
          <w:rFonts w:ascii="Titillium" w:hAnsi="Titillium"/>
          <w:sz w:val="20"/>
          <w:szCs w:val="20"/>
        </w:rPr>
        <w:t>5</w:t>
      </w:r>
      <w:r w:rsidR="00BB4624">
        <w:rPr>
          <w:rFonts w:ascii="Titillium" w:hAnsi="Titillium"/>
          <w:sz w:val="20"/>
          <w:szCs w:val="20"/>
        </w:rPr>
        <w:t>.</w:t>
      </w:r>
    </w:p>
    <w:p w:rsidR="009546D9" w:rsidRPr="000137CD" w:rsidRDefault="009546D9" w:rsidP="00A5733C">
      <w:pPr>
        <w:spacing w:after="0" w:line="240" w:lineRule="auto"/>
        <w:rPr>
          <w:rFonts w:ascii="Titillium" w:hAnsi="Titillium"/>
          <w:sz w:val="20"/>
          <w:szCs w:val="20"/>
        </w:rPr>
      </w:pPr>
      <w:r w:rsidRPr="000137CD">
        <w:rPr>
          <w:rFonts w:ascii="Titillium" w:hAnsi="Titillium"/>
          <w:sz w:val="20"/>
          <w:szCs w:val="20"/>
        </w:rPr>
        <w:t xml:space="preserve">Si è </w:t>
      </w:r>
      <w:r w:rsidR="00606B37">
        <w:rPr>
          <w:rFonts w:ascii="Titillium" w:hAnsi="Titillium"/>
          <w:sz w:val="20"/>
          <w:szCs w:val="20"/>
        </w:rPr>
        <w:t xml:space="preserve">poi </w:t>
      </w:r>
      <w:r w:rsidRPr="000137CD">
        <w:rPr>
          <w:rFonts w:ascii="Titillium" w:hAnsi="Titillium"/>
          <w:sz w:val="20"/>
          <w:szCs w:val="20"/>
        </w:rPr>
        <w:t>proceduto alla compilazione della griglia e, in particolare, delle previste c</w:t>
      </w:r>
      <w:r>
        <w:rPr>
          <w:rFonts w:ascii="Titillium" w:hAnsi="Titillium"/>
          <w:sz w:val="20"/>
          <w:szCs w:val="20"/>
        </w:rPr>
        <w:t>elle</w:t>
      </w:r>
      <w:r w:rsidRPr="000137CD">
        <w:rPr>
          <w:rFonts w:ascii="Titillium" w:hAnsi="Titillium"/>
          <w:sz w:val="20"/>
          <w:szCs w:val="20"/>
        </w:rPr>
        <w:t>.</w:t>
      </w:r>
    </w:p>
    <w:p w:rsidR="009546D9" w:rsidRPr="000137CD" w:rsidRDefault="009546D9" w:rsidP="00A5733C">
      <w:pPr>
        <w:spacing w:after="0" w:line="240" w:lineRule="auto"/>
        <w:rPr>
          <w:rFonts w:ascii="Titillium" w:hAnsi="Titillium"/>
          <w:sz w:val="20"/>
          <w:szCs w:val="20"/>
        </w:rPr>
      </w:pPr>
      <w:r w:rsidRPr="000137CD">
        <w:rPr>
          <w:rFonts w:ascii="Titillium" w:hAnsi="Titillium"/>
          <w:sz w:val="20"/>
          <w:szCs w:val="20"/>
        </w:rPr>
        <w:t>Si sono svolti</w:t>
      </w:r>
      <w:r>
        <w:rPr>
          <w:rFonts w:ascii="Titillium" w:hAnsi="Titillium"/>
          <w:sz w:val="20"/>
          <w:szCs w:val="20"/>
        </w:rPr>
        <w:t>, successivamente al 31 maggio 2021,</w:t>
      </w:r>
      <w:r w:rsidRPr="000137CD">
        <w:rPr>
          <w:rFonts w:ascii="Titillium" w:hAnsi="Titillium"/>
          <w:sz w:val="20"/>
          <w:szCs w:val="20"/>
        </w:rPr>
        <w:t xml:space="preserve"> approfondimenti istruttori con alcune Strutture della PCM in merito alle informazioni, dati e documenti oggetto di obbligo di pubblicazione.</w:t>
      </w:r>
    </w:p>
    <w:p w:rsidR="009546D9" w:rsidRPr="000137CD" w:rsidRDefault="009546D9" w:rsidP="00A5733C">
      <w:pPr>
        <w:spacing w:after="0" w:line="240" w:lineRule="auto"/>
        <w:rPr>
          <w:rFonts w:ascii="Titillium" w:hAnsi="Titillium"/>
          <w:sz w:val="20"/>
          <w:szCs w:val="20"/>
        </w:rPr>
      </w:pPr>
      <w:r w:rsidRPr="000137CD">
        <w:rPr>
          <w:rFonts w:ascii="Titillium" w:hAnsi="Titillium"/>
          <w:sz w:val="20"/>
          <w:szCs w:val="20"/>
        </w:rPr>
        <w:t xml:space="preserve">Con riguardo alla colonna “apertura formato” della griglia di rilevazione ANAC, le relative informazioni sono state fornite con email del </w:t>
      </w:r>
      <w:r w:rsidR="00D32044">
        <w:rPr>
          <w:rFonts w:ascii="Titillium" w:hAnsi="Titillium"/>
          <w:sz w:val="20"/>
          <w:szCs w:val="20"/>
        </w:rPr>
        <w:t xml:space="preserve">17 giugno </w:t>
      </w:r>
      <w:r w:rsidRPr="000137CD">
        <w:rPr>
          <w:rFonts w:ascii="Titillium" w:hAnsi="Titillium"/>
          <w:sz w:val="20"/>
          <w:szCs w:val="20"/>
        </w:rPr>
        <w:t>202</w:t>
      </w:r>
      <w:r w:rsidR="00D32044">
        <w:rPr>
          <w:rFonts w:ascii="Titillium" w:hAnsi="Titillium"/>
          <w:sz w:val="20"/>
          <w:szCs w:val="20"/>
        </w:rPr>
        <w:t>2</w:t>
      </w:r>
      <w:r w:rsidRPr="000137CD">
        <w:rPr>
          <w:rFonts w:ascii="Titillium" w:hAnsi="Titillium"/>
          <w:sz w:val="20"/>
          <w:szCs w:val="20"/>
        </w:rPr>
        <w:t xml:space="preserve"> dalla Redazione </w:t>
      </w:r>
      <w:r w:rsidRPr="00606B37">
        <w:rPr>
          <w:rFonts w:ascii="Titillium" w:hAnsi="Titillium"/>
          <w:i/>
          <w:sz w:val="20"/>
          <w:szCs w:val="20"/>
        </w:rPr>
        <w:t>internet</w:t>
      </w:r>
      <w:r w:rsidRPr="000137CD">
        <w:rPr>
          <w:rFonts w:ascii="Titillium" w:hAnsi="Titillium"/>
          <w:sz w:val="20"/>
          <w:szCs w:val="20"/>
        </w:rPr>
        <w:t xml:space="preserve"> </w:t>
      </w:r>
      <w:r w:rsidRPr="00341ACB">
        <w:rPr>
          <w:rFonts w:ascii="Titillium" w:hAnsi="Titillium"/>
          <w:sz w:val="20"/>
          <w:szCs w:val="20"/>
        </w:rPr>
        <w:t xml:space="preserve">dell’Ufficio </w:t>
      </w:r>
      <w:r w:rsidR="00F06C65" w:rsidRPr="00341ACB">
        <w:rPr>
          <w:rFonts w:ascii="Titillium" w:hAnsi="Titillium"/>
          <w:sz w:val="20"/>
          <w:szCs w:val="20"/>
        </w:rPr>
        <w:t>per la comunicazione istituzionale e le relazioni con i media</w:t>
      </w:r>
      <w:r w:rsidRPr="00341ACB">
        <w:rPr>
          <w:rFonts w:ascii="Titillium" w:hAnsi="Titillium"/>
          <w:sz w:val="20"/>
          <w:szCs w:val="20"/>
        </w:rPr>
        <w:t xml:space="preserve"> d</w:t>
      </w:r>
      <w:r w:rsidR="00606B37">
        <w:rPr>
          <w:rFonts w:ascii="Titillium" w:hAnsi="Titillium"/>
          <w:sz w:val="20"/>
          <w:szCs w:val="20"/>
        </w:rPr>
        <w:t>ella PCM</w:t>
      </w:r>
      <w:r w:rsidR="004E3C45">
        <w:rPr>
          <w:rFonts w:ascii="Titillium" w:hAnsi="Titillium"/>
          <w:sz w:val="20"/>
          <w:szCs w:val="20"/>
        </w:rPr>
        <w:t>,</w:t>
      </w:r>
      <w:r w:rsidRPr="00341ACB">
        <w:rPr>
          <w:rFonts w:ascii="Titillium" w:hAnsi="Titillium"/>
          <w:sz w:val="20"/>
          <w:szCs w:val="20"/>
        </w:rPr>
        <w:t xml:space="preserve"> </w:t>
      </w:r>
      <w:r w:rsidR="00606B37">
        <w:rPr>
          <w:rFonts w:ascii="Titillium" w:hAnsi="Titillium"/>
          <w:sz w:val="20"/>
          <w:szCs w:val="20"/>
        </w:rPr>
        <w:t xml:space="preserve">il quale </w:t>
      </w:r>
      <w:r w:rsidRPr="00341ACB">
        <w:rPr>
          <w:rFonts w:ascii="Titillium" w:hAnsi="Titillium"/>
          <w:sz w:val="20"/>
          <w:szCs w:val="20"/>
        </w:rPr>
        <w:t>provvede alla</w:t>
      </w:r>
      <w:r w:rsidRPr="000137CD">
        <w:rPr>
          <w:rFonts w:ascii="Titillium" w:hAnsi="Titillium"/>
          <w:sz w:val="20"/>
          <w:szCs w:val="20"/>
        </w:rPr>
        <w:t xml:space="preserve"> pubblicazione dei dati che vengono inviati dalle Strutture.</w:t>
      </w:r>
    </w:p>
    <w:p w:rsidR="004E3C45" w:rsidRDefault="004E3C45" w:rsidP="00A5733C">
      <w:pPr>
        <w:spacing w:after="0" w:line="240" w:lineRule="auto"/>
        <w:rPr>
          <w:rFonts w:ascii="Titillium" w:hAnsi="Titillium"/>
          <w:sz w:val="20"/>
          <w:szCs w:val="20"/>
        </w:rPr>
      </w:pPr>
    </w:p>
    <w:p w:rsidR="009546D9" w:rsidRDefault="00606B37" w:rsidP="00A5733C">
      <w:pPr>
        <w:spacing w:after="0" w:line="240" w:lineRule="auto"/>
        <w:rPr>
          <w:rFonts w:ascii="Titillium" w:hAnsi="Titillium"/>
          <w:sz w:val="20"/>
          <w:szCs w:val="20"/>
        </w:rPr>
      </w:pPr>
      <w:r>
        <w:rPr>
          <w:rFonts w:ascii="Titillium" w:hAnsi="Titillium"/>
          <w:sz w:val="20"/>
          <w:szCs w:val="20"/>
        </w:rPr>
        <w:t>Sono s</w:t>
      </w:r>
      <w:r w:rsidR="009546D9" w:rsidRPr="000137CD">
        <w:rPr>
          <w:rFonts w:ascii="Titillium" w:hAnsi="Titillium"/>
          <w:sz w:val="20"/>
          <w:szCs w:val="20"/>
        </w:rPr>
        <w:t>tat</w:t>
      </w:r>
      <w:r>
        <w:rPr>
          <w:rFonts w:ascii="Titillium" w:hAnsi="Titillium"/>
          <w:sz w:val="20"/>
          <w:szCs w:val="20"/>
        </w:rPr>
        <w:t>e</w:t>
      </w:r>
      <w:r w:rsidR="009546D9" w:rsidRPr="000137CD">
        <w:rPr>
          <w:rFonts w:ascii="Titillium" w:hAnsi="Titillium"/>
          <w:sz w:val="20"/>
          <w:szCs w:val="20"/>
        </w:rPr>
        <w:t xml:space="preserve"> acquisit</w:t>
      </w:r>
      <w:r>
        <w:rPr>
          <w:rFonts w:ascii="Titillium" w:hAnsi="Titillium"/>
          <w:sz w:val="20"/>
          <w:szCs w:val="20"/>
        </w:rPr>
        <w:t>e</w:t>
      </w:r>
      <w:r w:rsidR="009546D9" w:rsidRPr="000137CD">
        <w:rPr>
          <w:rFonts w:ascii="Titillium" w:hAnsi="Titillium"/>
          <w:sz w:val="20"/>
          <w:szCs w:val="20"/>
        </w:rPr>
        <w:t>, come necessario fondamento dell’attività di verifica:</w:t>
      </w:r>
    </w:p>
    <w:p w:rsidR="004E3C45" w:rsidRPr="000137CD" w:rsidRDefault="004E3C45" w:rsidP="00A5733C">
      <w:pPr>
        <w:spacing w:after="0" w:line="240" w:lineRule="auto"/>
        <w:rPr>
          <w:rFonts w:ascii="Titillium" w:hAnsi="Titillium"/>
          <w:sz w:val="20"/>
          <w:szCs w:val="20"/>
        </w:rPr>
      </w:pPr>
    </w:p>
    <w:p w:rsidR="009546D9" w:rsidRPr="00341ACB" w:rsidRDefault="009546D9" w:rsidP="00A5733C">
      <w:pPr>
        <w:pStyle w:val="Paragrafoelenco"/>
        <w:keepNext w:val="0"/>
        <w:widowControl/>
        <w:numPr>
          <w:ilvl w:val="0"/>
          <w:numId w:val="5"/>
        </w:numPr>
        <w:pBdr>
          <w:top w:val="none" w:sz="0" w:space="0" w:color="auto"/>
          <w:left w:val="none" w:sz="0" w:space="0" w:color="auto"/>
          <w:bottom w:val="none" w:sz="0" w:space="0" w:color="auto"/>
          <w:right w:val="none" w:sz="0" w:space="0" w:color="auto"/>
        </w:pBdr>
        <w:suppressAutoHyphens w:val="0"/>
        <w:spacing w:after="0" w:line="240" w:lineRule="auto"/>
        <w:rPr>
          <w:rFonts w:ascii="Titillium" w:hAnsi="Titillium"/>
          <w:sz w:val="20"/>
          <w:szCs w:val="20"/>
        </w:rPr>
      </w:pPr>
      <w:r w:rsidRPr="00341ACB">
        <w:rPr>
          <w:rFonts w:ascii="Titillium" w:hAnsi="Titillium"/>
          <w:sz w:val="20"/>
          <w:szCs w:val="20"/>
        </w:rPr>
        <w:t xml:space="preserve">la Relazione annuale del Responsabile della prevenzione della corruzione e della trasparenza </w:t>
      </w:r>
      <w:r w:rsidR="00ED7476">
        <w:rPr>
          <w:rFonts w:ascii="Titillium" w:hAnsi="Titillium"/>
          <w:sz w:val="20"/>
          <w:szCs w:val="20"/>
        </w:rPr>
        <w:t xml:space="preserve">(RPCT) </w:t>
      </w:r>
      <w:r w:rsidRPr="00341ACB">
        <w:rPr>
          <w:rFonts w:ascii="Titillium" w:hAnsi="Titillium"/>
          <w:sz w:val="20"/>
          <w:szCs w:val="20"/>
        </w:rPr>
        <w:t xml:space="preserve">della PCM in merito all’adempimento degli obblighi di </w:t>
      </w:r>
      <w:r w:rsidR="00606B37">
        <w:rPr>
          <w:rFonts w:ascii="Titillium" w:hAnsi="Titillium"/>
          <w:sz w:val="20"/>
          <w:szCs w:val="20"/>
        </w:rPr>
        <w:t>trasparenza</w:t>
      </w:r>
      <w:r w:rsidRPr="00341ACB">
        <w:rPr>
          <w:rFonts w:ascii="Titillium" w:hAnsi="Titillium"/>
          <w:sz w:val="20"/>
          <w:szCs w:val="20"/>
        </w:rPr>
        <w:t xml:space="preserve"> nell’anno 202</w:t>
      </w:r>
      <w:r w:rsidR="00D32044" w:rsidRPr="00341ACB">
        <w:rPr>
          <w:rFonts w:ascii="Titillium" w:hAnsi="Titillium"/>
          <w:sz w:val="20"/>
          <w:szCs w:val="20"/>
        </w:rPr>
        <w:t>1</w:t>
      </w:r>
      <w:r w:rsidRPr="00341ACB">
        <w:rPr>
          <w:rFonts w:ascii="Titillium" w:hAnsi="Titillium"/>
          <w:sz w:val="20"/>
          <w:szCs w:val="20"/>
        </w:rPr>
        <w:t xml:space="preserve">, già trasmessa al Collegio di direzione dell’UCI in data </w:t>
      </w:r>
      <w:r w:rsidR="00341ACB" w:rsidRPr="00341ACB">
        <w:rPr>
          <w:rFonts w:ascii="Titillium" w:hAnsi="Titillium"/>
          <w:sz w:val="20"/>
          <w:szCs w:val="20"/>
        </w:rPr>
        <w:t>2</w:t>
      </w:r>
      <w:r w:rsidR="00F06C65" w:rsidRPr="00341ACB">
        <w:rPr>
          <w:rFonts w:ascii="Titillium" w:hAnsi="Titillium"/>
          <w:sz w:val="20"/>
          <w:szCs w:val="20"/>
        </w:rPr>
        <w:t>8 dicembre 2021</w:t>
      </w:r>
      <w:r w:rsidRPr="00341ACB">
        <w:rPr>
          <w:rFonts w:ascii="Titillium" w:hAnsi="Titillium"/>
          <w:sz w:val="20"/>
          <w:szCs w:val="20"/>
        </w:rPr>
        <w:t>;</w:t>
      </w:r>
    </w:p>
    <w:p w:rsidR="009546D9" w:rsidRPr="00341ACB" w:rsidRDefault="009546D9" w:rsidP="00A5733C">
      <w:pPr>
        <w:pStyle w:val="Paragrafoelenco"/>
        <w:keepNext w:val="0"/>
        <w:widowControl/>
        <w:numPr>
          <w:ilvl w:val="0"/>
          <w:numId w:val="5"/>
        </w:numPr>
        <w:pBdr>
          <w:top w:val="none" w:sz="0" w:space="0" w:color="auto"/>
          <w:left w:val="none" w:sz="0" w:space="0" w:color="auto"/>
          <w:bottom w:val="none" w:sz="0" w:space="0" w:color="auto"/>
          <w:right w:val="none" w:sz="0" w:space="0" w:color="auto"/>
        </w:pBdr>
        <w:suppressAutoHyphens w:val="0"/>
        <w:spacing w:after="0" w:line="240" w:lineRule="auto"/>
        <w:rPr>
          <w:rFonts w:ascii="Titillium" w:hAnsi="Titillium"/>
          <w:sz w:val="20"/>
          <w:szCs w:val="20"/>
        </w:rPr>
      </w:pPr>
      <w:r w:rsidRPr="00341ACB">
        <w:rPr>
          <w:rFonts w:ascii="Titillium" w:hAnsi="Titillium"/>
          <w:sz w:val="20"/>
          <w:szCs w:val="20"/>
        </w:rPr>
        <w:t xml:space="preserve">la Relazione </w:t>
      </w:r>
      <w:r w:rsidR="00ED7476">
        <w:rPr>
          <w:rFonts w:ascii="Titillium" w:hAnsi="Titillium"/>
          <w:sz w:val="20"/>
          <w:szCs w:val="20"/>
        </w:rPr>
        <w:t xml:space="preserve">elaborata dal RPCT </w:t>
      </w:r>
      <w:r w:rsidRPr="00341ACB">
        <w:rPr>
          <w:rFonts w:ascii="Titillium" w:hAnsi="Titillium"/>
          <w:sz w:val="20"/>
          <w:szCs w:val="20"/>
        </w:rPr>
        <w:t xml:space="preserve">in esito alla procedura di controllo degli adempimenti in materia di trasparenza di cui al </w:t>
      </w:r>
      <w:r w:rsidR="00606B37">
        <w:rPr>
          <w:rFonts w:ascii="Titillium" w:hAnsi="Titillium"/>
          <w:sz w:val="20"/>
          <w:szCs w:val="20"/>
        </w:rPr>
        <w:t xml:space="preserve">decreto legislativo 14 marzo 2013, n. </w:t>
      </w:r>
      <w:r w:rsidRPr="00341ACB">
        <w:rPr>
          <w:rFonts w:ascii="Titillium" w:hAnsi="Titillium"/>
          <w:sz w:val="20"/>
          <w:szCs w:val="20"/>
        </w:rPr>
        <w:t xml:space="preserve">33 </w:t>
      </w:r>
      <w:r w:rsidR="00606B37">
        <w:rPr>
          <w:rFonts w:ascii="Titillium" w:hAnsi="Titillium"/>
          <w:sz w:val="20"/>
          <w:szCs w:val="20"/>
        </w:rPr>
        <w:t>(</w:t>
      </w:r>
      <w:r w:rsidRPr="00341ACB">
        <w:rPr>
          <w:rFonts w:ascii="Titillium" w:hAnsi="Titillium"/>
          <w:sz w:val="20"/>
          <w:szCs w:val="20"/>
        </w:rPr>
        <w:t>sorteggio del 1</w:t>
      </w:r>
      <w:r w:rsidR="00341ACB" w:rsidRPr="00341ACB">
        <w:rPr>
          <w:rFonts w:ascii="Titillium" w:hAnsi="Titillium"/>
          <w:sz w:val="20"/>
          <w:szCs w:val="20"/>
        </w:rPr>
        <w:t>3</w:t>
      </w:r>
      <w:r w:rsidRPr="00341ACB">
        <w:rPr>
          <w:rFonts w:ascii="Titillium" w:hAnsi="Titillium"/>
          <w:sz w:val="20"/>
          <w:szCs w:val="20"/>
        </w:rPr>
        <w:t>/10/202</w:t>
      </w:r>
      <w:r w:rsidR="00341ACB" w:rsidRPr="00341ACB">
        <w:rPr>
          <w:rFonts w:ascii="Titillium" w:hAnsi="Titillium"/>
          <w:sz w:val="20"/>
          <w:szCs w:val="20"/>
        </w:rPr>
        <w:t>1</w:t>
      </w:r>
      <w:r w:rsidR="00ED7476">
        <w:rPr>
          <w:rFonts w:ascii="Titillium" w:hAnsi="Titillium"/>
          <w:sz w:val="20"/>
          <w:szCs w:val="20"/>
        </w:rPr>
        <w:t>)</w:t>
      </w:r>
      <w:r w:rsidRPr="00341ACB">
        <w:rPr>
          <w:rFonts w:ascii="Titillium" w:hAnsi="Titillium"/>
          <w:sz w:val="20"/>
          <w:szCs w:val="20"/>
        </w:rPr>
        <w:t>.</w:t>
      </w:r>
    </w:p>
    <w:p w:rsidR="00ED7476" w:rsidRDefault="00ED7476" w:rsidP="00A5733C">
      <w:pPr>
        <w:spacing w:after="0" w:line="240" w:lineRule="auto"/>
        <w:rPr>
          <w:rFonts w:ascii="Titillium" w:hAnsi="Titillium"/>
          <w:sz w:val="20"/>
          <w:szCs w:val="20"/>
        </w:rPr>
      </w:pPr>
    </w:p>
    <w:p w:rsidR="00ED7476" w:rsidRDefault="009546D9" w:rsidP="00ED7476">
      <w:pPr>
        <w:spacing w:after="0" w:line="240" w:lineRule="auto"/>
        <w:rPr>
          <w:rFonts w:ascii="Titillium" w:hAnsi="Titillium"/>
          <w:sz w:val="20"/>
          <w:szCs w:val="20"/>
        </w:rPr>
      </w:pPr>
      <w:r w:rsidRPr="000137CD">
        <w:rPr>
          <w:rFonts w:ascii="Titillium" w:hAnsi="Titillium"/>
          <w:sz w:val="20"/>
          <w:szCs w:val="20"/>
        </w:rPr>
        <w:t>La verifica dei dati pubblicati sul sito istituzionale è avvenuta, previa istruttoria, mediante riscontro dei dati pubblicati nelle sottosezioni.</w:t>
      </w:r>
      <w:r w:rsidR="00ED7476">
        <w:rPr>
          <w:rFonts w:ascii="Titillium" w:hAnsi="Titillium"/>
          <w:sz w:val="20"/>
          <w:szCs w:val="20"/>
        </w:rPr>
        <w:t xml:space="preserve"> </w:t>
      </w:r>
      <w:r w:rsidRPr="000137CD">
        <w:rPr>
          <w:rFonts w:ascii="Titillium" w:hAnsi="Titillium"/>
          <w:sz w:val="20"/>
          <w:szCs w:val="20"/>
        </w:rPr>
        <w:lastRenderedPageBreak/>
        <w:t>Relativamente ad alcune verifiche è stato effettuato un riscontro a campione.</w:t>
      </w:r>
      <w:r w:rsidR="00ED7476">
        <w:rPr>
          <w:rFonts w:ascii="Titillium" w:hAnsi="Titillium"/>
          <w:sz w:val="20"/>
          <w:szCs w:val="20"/>
        </w:rPr>
        <w:t xml:space="preserve"> </w:t>
      </w:r>
    </w:p>
    <w:p w:rsidR="00ED7476" w:rsidRDefault="00ED7476" w:rsidP="00ED7476">
      <w:pPr>
        <w:spacing w:after="0" w:line="240" w:lineRule="auto"/>
        <w:rPr>
          <w:rFonts w:ascii="Titillium" w:hAnsi="Titillium"/>
          <w:sz w:val="20"/>
          <w:szCs w:val="20"/>
        </w:rPr>
      </w:pPr>
    </w:p>
    <w:p w:rsidR="009546D9" w:rsidRPr="000137CD" w:rsidRDefault="009546D9" w:rsidP="00ED7476">
      <w:pPr>
        <w:spacing w:after="0" w:line="240" w:lineRule="auto"/>
        <w:rPr>
          <w:rFonts w:ascii="Titillium" w:hAnsi="Titillium"/>
          <w:sz w:val="20"/>
          <w:szCs w:val="20"/>
        </w:rPr>
      </w:pPr>
      <w:r w:rsidRPr="000137CD">
        <w:rPr>
          <w:rFonts w:ascii="Titillium" w:hAnsi="Titillium"/>
          <w:sz w:val="20"/>
          <w:szCs w:val="20"/>
        </w:rPr>
        <w:t xml:space="preserve">Il punteggio attribuito nelle </w:t>
      </w:r>
      <w:r>
        <w:rPr>
          <w:rFonts w:ascii="Titillium" w:hAnsi="Titillium"/>
          <w:sz w:val="20"/>
          <w:szCs w:val="20"/>
        </w:rPr>
        <w:t xml:space="preserve">celle delle </w:t>
      </w:r>
      <w:r w:rsidRPr="000137CD">
        <w:rPr>
          <w:rFonts w:ascii="Titillium" w:hAnsi="Titillium"/>
          <w:sz w:val="20"/>
          <w:szCs w:val="20"/>
        </w:rPr>
        <w:t xml:space="preserve">colonne “Aggiornamento” </w:t>
      </w:r>
      <w:r>
        <w:rPr>
          <w:rFonts w:ascii="Titillium" w:hAnsi="Titillium"/>
          <w:sz w:val="20"/>
          <w:szCs w:val="20"/>
        </w:rPr>
        <w:t>e</w:t>
      </w:r>
      <w:r w:rsidR="00341ACB">
        <w:rPr>
          <w:rFonts w:ascii="Titillium" w:hAnsi="Titillium"/>
          <w:sz w:val="20"/>
          <w:szCs w:val="20"/>
        </w:rPr>
        <w:t xml:space="preserve"> </w:t>
      </w:r>
      <w:r w:rsidRPr="000137CD">
        <w:rPr>
          <w:rFonts w:ascii="Titillium" w:hAnsi="Titillium"/>
          <w:sz w:val="20"/>
          <w:szCs w:val="20"/>
        </w:rPr>
        <w:t xml:space="preserve">“Apertura formato” fa riferimento al livello di aggiornamento delle informazioni e all’apertura formato effettivamente pubblicati nella colonna “Completezza del contenuto”. </w:t>
      </w:r>
    </w:p>
    <w:p w:rsidR="00C27B23" w:rsidRPr="0041405A" w:rsidRDefault="00C27B23" w:rsidP="00A5733C">
      <w:pPr>
        <w:spacing w:after="0" w:line="240" w:lineRule="auto"/>
        <w:rPr>
          <w:rFonts w:ascii="Titillium" w:hAnsi="Titillium"/>
          <w:sz w:val="20"/>
          <w:szCs w:val="20"/>
          <w:u w:val="single"/>
        </w:rPr>
      </w:pPr>
    </w:p>
    <w:p w:rsidR="00C27B23" w:rsidRDefault="0048249A" w:rsidP="00A5733C">
      <w:pPr>
        <w:spacing w:after="0" w:line="240" w:lineRule="auto"/>
        <w:rPr>
          <w:rFonts w:ascii="Titillium" w:hAnsi="Titillium"/>
          <w:b/>
          <w:i/>
          <w:sz w:val="20"/>
          <w:szCs w:val="20"/>
        </w:rPr>
      </w:pPr>
      <w:r w:rsidRPr="0041405A">
        <w:rPr>
          <w:rFonts w:ascii="Titillium" w:hAnsi="Titillium"/>
          <w:b/>
          <w:i/>
          <w:sz w:val="20"/>
          <w:szCs w:val="20"/>
        </w:rPr>
        <w:t xml:space="preserve">Aspetti </w:t>
      </w:r>
      <w:r w:rsidR="002806CE">
        <w:rPr>
          <w:rFonts w:ascii="Titillium" w:hAnsi="Titillium"/>
          <w:b/>
          <w:i/>
          <w:sz w:val="20"/>
          <w:szCs w:val="20"/>
        </w:rPr>
        <w:t xml:space="preserve">critici </w:t>
      </w:r>
      <w:r w:rsidRPr="0041405A">
        <w:rPr>
          <w:rFonts w:ascii="Titillium" w:hAnsi="Titillium"/>
          <w:b/>
          <w:i/>
          <w:sz w:val="20"/>
          <w:szCs w:val="20"/>
        </w:rPr>
        <w:t>riscontrati nel corso della rilevazione</w:t>
      </w:r>
    </w:p>
    <w:p w:rsidR="00ED7476" w:rsidRPr="0041405A" w:rsidRDefault="00ED7476" w:rsidP="00A5733C">
      <w:pPr>
        <w:spacing w:after="0" w:line="240" w:lineRule="auto"/>
        <w:rPr>
          <w:rFonts w:ascii="Titillium" w:hAnsi="Titillium"/>
          <w:b/>
          <w:i/>
          <w:sz w:val="20"/>
          <w:szCs w:val="20"/>
        </w:rPr>
      </w:pPr>
    </w:p>
    <w:p w:rsidR="00C27B23" w:rsidRDefault="006A3B9C" w:rsidP="00A5733C">
      <w:pPr>
        <w:spacing w:after="0" w:line="240" w:lineRule="auto"/>
        <w:rPr>
          <w:rFonts w:ascii="Titillium" w:hAnsi="Titillium"/>
          <w:sz w:val="20"/>
          <w:szCs w:val="20"/>
        </w:rPr>
      </w:pPr>
      <w:r w:rsidRPr="006A3B9C">
        <w:rPr>
          <w:rFonts w:ascii="Titillium" w:hAnsi="Titillium"/>
          <w:sz w:val="20"/>
          <w:szCs w:val="20"/>
        </w:rPr>
        <w:t xml:space="preserve">Nella prospettiva di </w:t>
      </w:r>
      <w:r w:rsidR="00D55216">
        <w:rPr>
          <w:rFonts w:ascii="Titillium" w:hAnsi="Titillium"/>
          <w:sz w:val="20"/>
          <w:szCs w:val="20"/>
        </w:rPr>
        <w:t>informare in merito a</w:t>
      </w:r>
      <w:r w:rsidRPr="006A3B9C">
        <w:rPr>
          <w:rFonts w:ascii="Titillium" w:hAnsi="Titillium"/>
          <w:sz w:val="20"/>
          <w:szCs w:val="20"/>
        </w:rPr>
        <w:t xml:space="preserve">gli elementi </w:t>
      </w:r>
      <w:r w:rsidR="00E75DAF">
        <w:rPr>
          <w:rFonts w:ascii="Titillium" w:hAnsi="Titillium"/>
          <w:sz w:val="20"/>
          <w:szCs w:val="20"/>
        </w:rPr>
        <w:t>fondamentali ri</w:t>
      </w:r>
      <w:r w:rsidR="00D55216">
        <w:rPr>
          <w:rFonts w:ascii="Titillium" w:hAnsi="Titillium"/>
          <w:sz w:val="20"/>
          <w:szCs w:val="20"/>
        </w:rPr>
        <w:t xml:space="preserve">levati </w:t>
      </w:r>
      <w:r w:rsidRPr="006A3B9C">
        <w:rPr>
          <w:rFonts w:ascii="Titillium" w:hAnsi="Titillium"/>
          <w:sz w:val="20"/>
          <w:szCs w:val="20"/>
        </w:rPr>
        <w:t xml:space="preserve">dal Collegio </w:t>
      </w:r>
      <w:r w:rsidR="00D55216">
        <w:rPr>
          <w:rFonts w:ascii="Titillium" w:hAnsi="Titillium"/>
          <w:sz w:val="20"/>
          <w:szCs w:val="20"/>
        </w:rPr>
        <w:t xml:space="preserve">ritenuti </w:t>
      </w:r>
      <w:r w:rsidRPr="006A3B9C">
        <w:rPr>
          <w:rFonts w:ascii="Titillium" w:hAnsi="Titillium"/>
          <w:sz w:val="20"/>
          <w:szCs w:val="20"/>
        </w:rPr>
        <w:t xml:space="preserve">meritevoli di </w:t>
      </w:r>
      <w:r>
        <w:rPr>
          <w:rFonts w:ascii="Titillium" w:hAnsi="Titillium"/>
          <w:sz w:val="20"/>
          <w:szCs w:val="20"/>
        </w:rPr>
        <w:t>miglioramento</w:t>
      </w:r>
      <w:r w:rsidR="00D711C1">
        <w:rPr>
          <w:rFonts w:ascii="Titillium" w:hAnsi="Titillium"/>
          <w:sz w:val="20"/>
          <w:szCs w:val="20"/>
        </w:rPr>
        <w:t xml:space="preserve"> e di rendere una comunicazione coerente con gli aspetti riscontrati</w:t>
      </w:r>
      <w:r w:rsidR="00D55216">
        <w:rPr>
          <w:rFonts w:ascii="Titillium" w:hAnsi="Titillium"/>
          <w:sz w:val="20"/>
          <w:szCs w:val="20"/>
        </w:rPr>
        <w:t>,</w:t>
      </w:r>
      <w:r>
        <w:rPr>
          <w:rFonts w:ascii="Titillium" w:hAnsi="Titillium"/>
          <w:sz w:val="20"/>
          <w:szCs w:val="20"/>
        </w:rPr>
        <w:t xml:space="preserve"> si rappres</w:t>
      </w:r>
      <w:r w:rsidR="00D55216">
        <w:rPr>
          <w:rFonts w:ascii="Titillium" w:hAnsi="Titillium"/>
          <w:sz w:val="20"/>
          <w:szCs w:val="20"/>
        </w:rPr>
        <w:t>e</w:t>
      </w:r>
      <w:r>
        <w:rPr>
          <w:rFonts w:ascii="Titillium" w:hAnsi="Titillium"/>
          <w:sz w:val="20"/>
          <w:szCs w:val="20"/>
        </w:rPr>
        <w:t>nta quanto segue</w:t>
      </w:r>
      <w:r w:rsidR="00582687">
        <w:rPr>
          <w:rFonts w:ascii="Titillium" w:hAnsi="Titillium"/>
          <w:sz w:val="20"/>
          <w:szCs w:val="20"/>
        </w:rPr>
        <w:t>.</w:t>
      </w:r>
    </w:p>
    <w:p w:rsidR="00582687" w:rsidRDefault="00582687" w:rsidP="00A5733C">
      <w:pPr>
        <w:spacing w:after="0" w:line="240" w:lineRule="auto"/>
        <w:rPr>
          <w:rFonts w:ascii="Titillium" w:hAnsi="Titillium"/>
          <w:sz w:val="20"/>
          <w:szCs w:val="20"/>
        </w:rPr>
      </w:pPr>
    </w:p>
    <w:p w:rsidR="006A3B9C" w:rsidRDefault="00582687" w:rsidP="00A5733C">
      <w:pPr>
        <w:pStyle w:val="Paragrafoelenco"/>
        <w:numPr>
          <w:ilvl w:val="0"/>
          <w:numId w:val="9"/>
        </w:numPr>
        <w:spacing w:after="0" w:line="240" w:lineRule="auto"/>
        <w:ind w:left="425" w:hanging="425"/>
        <w:contextualSpacing/>
        <w:rPr>
          <w:rFonts w:ascii="Titillium" w:hAnsi="Titillium"/>
          <w:sz w:val="20"/>
          <w:szCs w:val="20"/>
        </w:rPr>
      </w:pPr>
      <w:r>
        <w:rPr>
          <w:rFonts w:ascii="Titillium" w:hAnsi="Titillium"/>
          <w:sz w:val="20"/>
          <w:szCs w:val="20"/>
        </w:rPr>
        <w:t>C</w:t>
      </w:r>
      <w:r w:rsidR="006A3B9C" w:rsidRPr="00EF6694">
        <w:rPr>
          <w:rFonts w:ascii="Titillium" w:hAnsi="Titillium"/>
          <w:sz w:val="20"/>
          <w:szCs w:val="20"/>
        </w:rPr>
        <w:t xml:space="preserve">on riguardo agli obblighi </w:t>
      </w:r>
      <w:r w:rsidR="00EF6694" w:rsidRPr="00EF6694">
        <w:rPr>
          <w:rFonts w:ascii="Titillium" w:hAnsi="Titillium"/>
          <w:sz w:val="20"/>
          <w:szCs w:val="20"/>
        </w:rPr>
        <w:t xml:space="preserve">di pubblicazione </w:t>
      </w:r>
      <w:r w:rsidR="006A3B9C" w:rsidRPr="00EF6694">
        <w:rPr>
          <w:rFonts w:ascii="Titillium" w:hAnsi="Titillium"/>
          <w:sz w:val="20"/>
          <w:szCs w:val="20"/>
        </w:rPr>
        <w:t>relativi a “</w:t>
      </w:r>
      <w:r>
        <w:rPr>
          <w:rFonts w:ascii="Titillium" w:hAnsi="Titillium"/>
          <w:sz w:val="20"/>
          <w:szCs w:val="20"/>
        </w:rPr>
        <w:t>C</w:t>
      </w:r>
      <w:r w:rsidR="006A3B9C" w:rsidRPr="00EF6694">
        <w:rPr>
          <w:rFonts w:ascii="Titillium" w:hAnsi="Titillium"/>
          <w:sz w:val="20"/>
          <w:szCs w:val="20"/>
        </w:rPr>
        <w:t>onsulenti e collaboratori”</w:t>
      </w:r>
      <w:r>
        <w:rPr>
          <w:rFonts w:ascii="Titillium" w:hAnsi="Titillium"/>
          <w:sz w:val="20"/>
          <w:szCs w:val="20"/>
        </w:rPr>
        <w:t>,</w:t>
      </w:r>
      <w:r w:rsidR="006A3B9C" w:rsidRPr="00EF6694">
        <w:rPr>
          <w:rFonts w:ascii="Titillium" w:hAnsi="Titillium"/>
          <w:sz w:val="20"/>
          <w:szCs w:val="20"/>
        </w:rPr>
        <w:t xml:space="preserve"> si riscontra una percentuale di pubblicazioni non </w:t>
      </w:r>
      <w:r w:rsidR="00EF6694" w:rsidRPr="00EF6694">
        <w:rPr>
          <w:rFonts w:ascii="Titillium" w:hAnsi="Titillium"/>
          <w:sz w:val="20"/>
          <w:szCs w:val="20"/>
        </w:rPr>
        <w:t>in linea con le relative disposizioni normative</w:t>
      </w:r>
      <w:r w:rsidR="00093F5B">
        <w:rPr>
          <w:rFonts w:ascii="Titillium" w:hAnsi="Titillium"/>
          <w:sz w:val="20"/>
          <w:szCs w:val="20"/>
        </w:rPr>
        <w:t xml:space="preserve"> </w:t>
      </w:r>
      <w:r w:rsidR="00646902">
        <w:rPr>
          <w:rFonts w:ascii="Titillium" w:hAnsi="Titillium"/>
          <w:sz w:val="20"/>
          <w:szCs w:val="20"/>
        </w:rPr>
        <w:t xml:space="preserve">sulla </w:t>
      </w:r>
      <w:r w:rsidR="00093F5B">
        <w:rPr>
          <w:rFonts w:ascii="Titillium" w:hAnsi="Titillium"/>
          <w:sz w:val="20"/>
          <w:szCs w:val="20"/>
        </w:rPr>
        <w:t>tempistica</w:t>
      </w:r>
      <w:r w:rsidR="00EF6694" w:rsidRPr="00EF6694">
        <w:rPr>
          <w:rFonts w:ascii="Titillium" w:hAnsi="Titillium"/>
          <w:sz w:val="20"/>
          <w:szCs w:val="20"/>
        </w:rPr>
        <w:t xml:space="preserve">. Detta percentuale non pregiudica il valore attribuito </w:t>
      </w:r>
      <w:r w:rsidR="00093F5B">
        <w:rPr>
          <w:rFonts w:ascii="Titillium" w:hAnsi="Titillium"/>
          <w:sz w:val="20"/>
          <w:szCs w:val="20"/>
        </w:rPr>
        <w:t xml:space="preserve">all’obbligo in argomento </w:t>
      </w:r>
      <w:r w:rsidR="000809C6">
        <w:rPr>
          <w:rFonts w:ascii="Titillium" w:hAnsi="Titillium"/>
          <w:sz w:val="20"/>
          <w:szCs w:val="20"/>
        </w:rPr>
        <w:t>(tempestività</w:t>
      </w:r>
      <w:r w:rsidR="00CB40E4">
        <w:rPr>
          <w:rFonts w:ascii="Titillium" w:hAnsi="Titillium"/>
          <w:sz w:val="20"/>
          <w:szCs w:val="20"/>
        </w:rPr>
        <w:t>).</w:t>
      </w:r>
    </w:p>
    <w:p w:rsidR="00C77C14" w:rsidRPr="00EF6694" w:rsidRDefault="00C77C14" w:rsidP="00A5733C">
      <w:pPr>
        <w:pStyle w:val="Paragrafoelenco"/>
        <w:spacing w:after="0" w:line="240" w:lineRule="auto"/>
        <w:ind w:left="425" w:firstLine="0"/>
        <w:contextualSpacing/>
        <w:rPr>
          <w:rFonts w:ascii="Titillium" w:hAnsi="Titillium"/>
          <w:sz w:val="20"/>
          <w:szCs w:val="20"/>
        </w:rPr>
      </w:pPr>
    </w:p>
    <w:p w:rsidR="00EF6694" w:rsidRDefault="00582687" w:rsidP="00A5733C">
      <w:pPr>
        <w:pStyle w:val="Paragrafoelenco"/>
        <w:numPr>
          <w:ilvl w:val="0"/>
          <w:numId w:val="9"/>
        </w:numPr>
        <w:spacing w:after="0" w:line="240" w:lineRule="auto"/>
        <w:ind w:left="426" w:hanging="426"/>
        <w:contextualSpacing/>
        <w:rPr>
          <w:rFonts w:ascii="Titillium" w:hAnsi="Titillium"/>
          <w:sz w:val="20"/>
          <w:szCs w:val="20"/>
        </w:rPr>
      </w:pPr>
      <w:r>
        <w:rPr>
          <w:rFonts w:ascii="Titillium" w:hAnsi="Titillium"/>
          <w:sz w:val="20"/>
          <w:szCs w:val="20"/>
        </w:rPr>
        <w:t>I</w:t>
      </w:r>
      <w:r w:rsidR="00646902">
        <w:rPr>
          <w:rFonts w:ascii="Titillium" w:hAnsi="Titillium"/>
          <w:sz w:val="20"/>
          <w:szCs w:val="20"/>
        </w:rPr>
        <w:t xml:space="preserve">n riferimento </w:t>
      </w:r>
      <w:r w:rsidR="00EF6694" w:rsidRPr="00EF6694">
        <w:rPr>
          <w:rFonts w:ascii="Titillium" w:hAnsi="Titillium"/>
          <w:sz w:val="20"/>
          <w:szCs w:val="20"/>
        </w:rPr>
        <w:t>agli obblighi di pubblicazione relativi a “Enti controllati”:</w:t>
      </w:r>
    </w:p>
    <w:p w:rsidR="00C77C14" w:rsidRPr="00EF6694" w:rsidRDefault="00C77C14" w:rsidP="00A5733C">
      <w:pPr>
        <w:pStyle w:val="Paragrafoelenco"/>
        <w:spacing w:after="0" w:line="240" w:lineRule="auto"/>
        <w:ind w:left="426" w:firstLine="0"/>
        <w:contextualSpacing/>
        <w:rPr>
          <w:rFonts w:ascii="Titillium" w:hAnsi="Titillium"/>
          <w:sz w:val="20"/>
          <w:szCs w:val="20"/>
        </w:rPr>
      </w:pPr>
    </w:p>
    <w:p w:rsidR="00EF6694" w:rsidRDefault="00D711C1" w:rsidP="00A5733C">
      <w:pPr>
        <w:pStyle w:val="Paragrafoelenco"/>
        <w:numPr>
          <w:ilvl w:val="0"/>
          <w:numId w:val="10"/>
        </w:numPr>
        <w:spacing w:after="0" w:line="240" w:lineRule="auto"/>
        <w:ind w:left="993"/>
        <w:contextualSpacing/>
        <w:rPr>
          <w:rFonts w:ascii="Titillium" w:hAnsi="Titillium"/>
          <w:sz w:val="20"/>
          <w:szCs w:val="20"/>
        </w:rPr>
      </w:pPr>
      <w:r>
        <w:rPr>
          <w:rFonts w:ascii="Titillium" w:hAnsi="Titillium"/>
          <w:sz w:val="20"/>
          <w:szCs w:val="20"/>
        </w:rPr>
        <w:t>I</w:t>
      </w:r>
      <w:r w:rsidR="00D55216">
        <w:rPr>
          <w:rFonts w:ascii="Titillium" w:hAnsi="Titillium"/>
          <w:sz w:val="20"/>
          <w:szCs w:val="20"/>
        </w:rPr>
        <w:t xml:space="preserve">n termini generali, </w:t>
      </w:r>
      <w:r w:rsidR="00EF6694">
        <w:rPr>
          <w:rFonts w:ascii="Titillium" w:hAnsi="Titillium"/>
          <w:sz w:val="20"/>
          <w:szCs w:val="20"/>
        </w:rPr>
        <w:t xml:space="preserve">talvolta il rimando </w:t>
      </w:r>
      <w:r w:rsidR="00D55216">
        <w:rPr>
          <w:rFonts w:ascii="Titillium" w:hAnsi="Titillium"/>
          <w:sz w:val="20"/>
          <w:szCs w:val="20"/>
        </w:rPr>
        <w:t xml:space="preserve">contenuto nella casella </w:t>
      </w:r>
      <w:r w:rsidR="00093F5B">
        <w:rPr>
          <w:rFonts w:ascii="Titillium" w:hAnsi="Titillium"/>
          <w:sz w:val="20"/>
          <w:szCs w:val="20"/>
        </w:rPr>
        <w:t>a</w:t>
      </w:r>
      <w:r w:rsidR="00EF6694">
        <w:rPr>
          <w:rFonts w:ascii="Titillium" w:hAnsi="Titillium"/>
          <w:sz w:val="20"/>
          <w:szCs w:val="20"/>
        </w:rPr>
        <w:t xml:space="preserve">l </w:t>
      </w:r>
      <w:r w:rsidR="00EF6694" w:rsidRPr="00646902">
        <w:rPr>
          <w:rFonts w:ascii="Titillium" w:hAnsi="Titillium"/>
          <w:i/>
          <w:sz w:val="20"/>
          <w:szCs w:val="20"/>
        </w:rPr>
        <w:t>link</w:t>
      </w:r>
      <w:r w:rsidR="00EF6694">
        <w:rPr>
          <w:rFonts w:ascii="Titillium" w:hAnsi="Titillium"/>
          <w:sz w:val="20"/>
          <w:szCs w:val="20"/>
        </w:rPr>
        <w:t xml:space="preserve"> non è alla </w:t>
      </w:r>
      <w:r w:rsidR="00D55216">
        <w:rPr>
          <w:rFonts w:ascii="Titillium" w:hAnsi="Titillium"/>
          <w:sz w:val="20"/>
          <w:szCs w:val="20"/>
        </w:rPr>
        <w:t xml:space="preserve">corrispondente </w:t>
      </w:r>
      <w:r w:rsidR="00EF6694">
        <w:rPr>
          <w:rFonts w:ascii="Titillium" w:hAnsi="Titillium"/>
          <w:sz w:val="20"/>
          <w:szCs w:val="20"/>
        </w:rPr>
        <w:t>pagina del</w:t>
      </w:r>
      <w:r w:rsidR="00D55216">
        <w:rPr>
          <w:rFonts w:ascii="Titillium" w:hAnsi="Titillium"/>
          <w:sz w:val="20"/>
          <w:szCs w:val="20"/>
        </w:rPr>
        <w:t>la sezione Amministrazione</w:t>
      </w:r>
      <w:r w:rsidR="00093F5B">
        <w:rPr>
          <w:rFonts w:ascii="Titillium" w:hAnsi="Titillium"/>
          <w:sz w:val="20"/>
          <w:szCs w:val="20"/>
        </w:rPr>
        <w:t>/Società</w:t>
      </w:r>
      <w:r w:rsidR="00D55216">
        <w:rPr>
          <w:rFonts w:ascii="Titillium" w:hAnsi="Titillium"/>
          <w:sz w:val="20"/>
          <w:szCs w:val="20"/>
        </w:rPr>
        <w:t xml:space="preserve"> trasparente</w:t>
      </w:r>
      <w:r w:rsidR="00EF6694">
        <w:rPr>
          <w:rFonts w:ascii="Titillium" w:hAnsi="Titillium"/>
          <w:sz w:val="20"/>
          <w:szCs w:val="20"/>
        </w:rPr>
        <w:t xml:space="preserve"> </w:t>
      </w:r>
      <w:r w:rsidR="00D55216">
        <w:rPr>
          <w:rFonts w:ascii="Titillium" w:hAnsi="Titillium"/>
          <w:sz w:val="20"/>
          <w:szCs w:val="20"/>
        </w:rPr>
        <w:t xml:space="preserve">del </w:t>
      </w:r>
      <w:r w:rsidR="00EF6694">
        <w:rPr>
          <w:rFonts w:ascii="Titillium" w:hAnsi="Titillium"/>
          <w:sz w:val="20"/>
          <w:szCs w:val="20"/>
        </w:rPr>
        <w:t>sito dell’</w:t>
      </w:r>
      <w:r w:rsidR="00582687">
        <w:rPr>
          <w:rFonts w:ascii="Titillium" w:hAnsi="Titillium"/>
          <w:sz w:val="20"/>
          <w:szCs w:val="20"/>
        </w:rPr>
        <w:t>e</w:t>
      </w:r>
      <w:r w:rsidR="00EF6694">
        <w:rPr>
          <w:rFonts w:ascii="Titillium" w:hAnsi="Titillium"/>
          <w:sz w:val="20"/>
          <w:szCs w:val="20"/>
        </w:rPr>
        <w:t>nte controllato</w:t>
      </w:r>
      <w:r w:rsidR="00D55216">
        <w:rPr>
          <w:rFonts w:ascii="Titillium" w:hAnsi="Titillium"/>
          <w:sz w:val="20"/>
          <w:szCs w:val="20"/>
        </w:rPr>
        <w:t xml:space="preserve"> ove è riportata l’informazione</w:t>
      </w:r>
      <w:r w:rsidR="00194532">
        <w:rPr>
          <w:rFonts w:ascii="Titillium" w:hAnsi="Titillium"/>
          <w:sz w:val="20"/>
          <w:szCs w:val="20"/>
        </w:rPr>
        <w:t>.</w:t>
      </w:r>
    </w:p>
    <w:p w:rsidR="00C77C14" w:rsidRDefault="00C77C14" w:rsidP="00A5733C">
      <w:pPr>
        <w:pStyle w:val="Paragrafoelenco"/>
        <w:spacing w:after="0" w:line="240" w:lineRule="auto"/>
        <w:ind w:left="993" w:firstLine="0"/>
        <w:contextualSpacing/>
        <w:rPr>
          <w:rFonts w:ascii="Titillium" w:hAnsi="Titillium"/>
          <w:sz w:val="20"/>
          <w:szCs w:val="20"/>
        </w:rPr>
      </w:pPr>
    </w:p>
    <w:p w:rsidR="0080777A" w:rsidRDefault="00D711C1" w:rsidP="00A5733C">
      <w:pPr>
        <w:pStyle w:val="Paragrafoelenco"/>
        <w:numPr>
          <w:ilvl w:val="0"/>
          <w:numId w:val="10"/>
        </w:numPr>
        <w:spacing w:after="0" w:line="240" w:lineRule="auto"/>
        <w:ind w:left="993"/>
        <w:contextualSpacing/>
        <w:rPr>
          <w:rFonts w:ascii="Titillium" w:hAnsi="Titillium"/>
          <w:sz w:val="20"/>
          <w:szCs w:val="20"/>
        </w:rPr>
      </w:pPr>
      <w:r>
        <w:rPr>
          <w:rFonts w:ascii="Titillium" w:hAnsi="Titillium"/>
          <w:sz w:val="20"/>
          <w:szCs w:val="20"/>
        </w:rPr>
        <w:t>N</w:t>
      </w:r>
      <w:r w:rsidR="00D55216">
        <w:rPr>
          <w:rFonts w:ascii="Titillium" w:hAnsi="Titillium"/>
          <w:sz w:val="20"/>
          <w:szCs w:val="20"/>
        </w:rPr>
        <w:t xml:space="preserve">ello </w:t>
      </w:r>
      <w:r w:rsidR="00D55216" w:rsidRPr="003C1E35">
        <w:rPr>
          <w:rFonts w:ascii="Titillium" w:hAnsi="Titillium"/>
          <w:sz w:val="20"/>
          <w:szCs w:val="20"/>
        </w:rPr>
        <w:t xml:space="preserve">specifico, </w:t>
      </w:r>
      <w:r w:rsidR="00646902">
        <w:rPr>
          <w:rFonts w:ascii="Titillium" w:hAnsi="Titillium"/>
          <w:sz w:val="20"/>
          <w:szCs w:val="20"/>
        </w:rPr>
        <w:t xml:space="preserve">per le </w:t>
      </w:r>
      <w:r w:rsidR="00D55216" w:rsidRPr="003C1E35">
        <w:rPr>
          <w:rFonts w:ascii="Titillium" w:hAnsi="Titillium"/>
          <w:sz w:val="20"/>
          <w:szCs w:val="20"/>
        </w:rPr>
        <w:t xml:space="preserve">“società partecipate”, compare </w:t>
      </w:r>
      <w:r w:rsidR="003C1E35" w:rsidRPr="003C1E35">
        <w:rPr>
          <w:rFonts w:ascii="Titillium" w:hAnsi="Titillium"/>
          <w:sz w:val="20"/>
          <w:szCs w:val="20"/>
        </w:rPr>
        <w:t xml:space="preserve">la sola </w:t>
      </w:r>
      <w:r w:rsidR="00477D0C">
        <w:rPr>
          <w:rFonts w:ascii="Titillium" w:hAnsi="Titillium"/>
          <w:sz w:val="20"/>
          <w:szCs w:val="20"/>
        </w:rPr>
        <w:t>s</w:t>
      </w:r>
      <w:r w:rsidR="003C1E35" w:rsidRPr="003C1E35">
        <w:rPr>
          <w:rFonts w:ascii="Titillium" w:hAnsi="Titillium"/>
          <w:sz w:val="20"/>
          <w:szCs w:val="20"/>
        </w:rPr>
        <w:t>ocietà CIRMONT</w:t>
      </w:r>
      <w:r w:rsidR="002B528E">
        <w:rPr>
          <w:rFonts w:ascii="Titillium" w:hAnsi="Titillium"/>
          <w:sz w:val="20"/>
          <w:szCs w:val="20"/>
        </w:rPr>
        <w:t>,</w:t>
      </w:r>
      <w:r w:rsidR="003C1E35" w:rsidRPr="003C1E35">
        <w:rPr>
          <w:rFonts w:ascii="Titillium" w:hAnsi="Titillium"/>
          <w:sz w:val="20"/>
          <w:szCs w:val="20"/>
        </w:rPr>
        <w:t xml:space="preserve"> che è tuttavia cessata nel 2016 e, quindi, </w:t>
      </w:r>
      <w:r w:rsidR="00646902">
        <w:rPr>
          <w:rFonts w:ascii="Titillium" w:hAnsi="Titillium"/>
          <w:sz w:val="20"/>
          <w:szCs w:val="20"/>
        </w:rPr>
        <w:t>dovrebbe essere e</w:t>
      </w:r>
      <w:r w:rsidR="00477D0C">
        <w:rPr>
          <w:rFonts w:ascii="Titillium" w:hAnsi="Titillium"/>
          <w:sz w:val="20"/>
          <w:szCs w:val="20"/>
        </w:rPr>
        <w:t>spunta</w:t>
      </w:r>
      <w:r>
        <w:rPr>
          <w:rFonts w:ascii="Titillium" w:hAnsi="Titillium"/>
          <w:sz w:val="20"/>
          <w:szCs w:val="20"/>
        </w:rPr>
        <w:t>; i</w:t>
      </w:r>
      <w:r w:rsidR="00477D0C">
        <w:rPr>
          <w:rFonts w:ascii="Titillium" w:hAnsi="Titillium"/>
          <w:sz w:val="20"/>
          <w:szCs w:val="20"/>
        </w:rPr>
        <w:t>n proposito, i</w:t>
      </w:r>
      <w:r w:rsidR="003C1E35" w:rsidRPr="003C1E35">
        <w:rPr>
          <w:rFonts w:ascii="Titillium" w:hAnsi="Titillium"/>
          <w:sz w:val="20"/>
          <w:szCs w:val="20"/>
        </w:rPr>
        <w:t xml:space="preserve">l Collegio ha stabilito di assegnare </w:t>
      </w:r>
      <w:r w:rsidR="00093F5B">
        <w:rPr>
          <w:rFonts w:ascii="Titillium" w:hAnsi="Titillium"/>
          <w:sz w:val="20"/>
          <w:szCs w:val="20"/>
        </w:rPr>
        <w:t>“</w:t>
      </w:r>
      <w:r w:rsidR="003C1E35" w:rsidRPr="003C1E35">
        <w:rPr>
          <w:rFonts w:ascii="Titillium" w:hAnsi="Titillium"/>
          <w:sz w:val="20"/>
          <w:szCs w:val="20"/>
        </w:rPr>
        <w:t>n/a</w:t>
      </w:r>
      <w:r w:rsidR="00093F5B">
        <w:rPr>
          <w:rFonts w:ascii="Titillium" w:hAnsi="Titillium"/>
          <w:sz w:val="20"/>
          <w:szCs w:val="20"/>
        </w:rPr>
        <w:t>”</w:t>
      </w:r>
      <w:r w:rsidR="003C1E35" w:rsidRPr="003C1E35">
        <w:rPr>
          <w:rFonts w:ascii="Titillium" w:hAnsi="Titillium"/>
          <w:sz w:val="20"/>
          <w:szCs w:val="20"/>
        </w:rPr>
        <w:t xml:space="preserve"> a tutti i campi/caselle anche se, a rigore, su "tempestività" il giudizio </w:t>
      </w:r>
      <w:proofErr w:type="gramStart"/>
      <w:r w:rsidR="003C1E35" w:rsidRPr="003C1E35">
        <w:rPr>
          <w:rFonts w:ascii="Titillium" w:hAnsi="Titillium"/>
          <w:sz w:val="20"/>
          <w:szCs w:val="20"/>
        </w:rPr>
        <w:t>sarebbe</w:t>
      </w:r>
      <w:proofErr w:type="gramEnd"/>
      <w:r w:rsidR="00477D0C">
        <w:rPr>
          <w:rFonts w:ascii="Titillium" w:hAnsi="Titillium"/>
          <w:sz w:val="20"/>
          <w:szCs w:val="20"/>
        </w:rPr>
        <w:t xml:space="preserve"> </w:t>
      </w:r>
      <w:r w:rsidR="003C1E35" w:rsidRPr="003C1E35">
        <w:rPr>
          <w:rFonts w:ascii="Titillium" w:hAnsi="Titillium"/>
          <w:sz w:val="20"/>
          <w:szCs w:val="20"/>
        </w:rPr>
        <w:t>potuto essere "0"</w:t>
      </w:r>
      <w:r w:rsidR="00194532">
        <w:rPr>
          <w:rFonts w:ascii="Titillium" w:hAnsi="Titillium"/>
          <w:sz w:val="20"/>
          <w:szCs w:val="20"/>
        </w:rPr>
        <w:t>.</w:t>
      </w:r>
      <w:r w:rsidR="008136D5">
        <w:rPr>
          <w:rFonts w:ascii="Titillium" w:hAnsi="Titillium"/>
          <w:sz w:val="20"/>
          <w:szCs w:val="20"/>
        </w:rPr>
        <w:t xml:space="preserve"> </w:t>
      </w:r>
    </w:p>
    <w:p w:rsidR="00C77C14" w:rsidRPr="003C1E35" w:rsidRDefault="00C77C14" w:rsidP="00A5733C">
      <w:pPr>
        <w:pStyle w:val="Paragrafoelenco"/>
        <w:spacing w:after="0" w:line="240" w:lineRule="auto"/>
        <w:ind w:left="992" w:firstLine="0"/>
        <w:contextualSpacing/>
        <w:rPr>
          <w:rFonts w:ascii="Titillium" w:hAnsi="Titillium"/>
          <w:sz w:val="20"/>
          <w:szCs w:val="20"/>
        </w:rPr>
      </w:pPr>
    </w:p>
    <w:p w:rsidR="00A06D9B" w:rsidRDefault="00D711C1" w:rsidP="00A5733C">
      <w:pPr>
        <w:pStyle w:val="Paragrafoelenco"/>
        <w:numPr>
          <w:ilvl w:val="0"/>
          <w:numId w:val="10"/>
        </w:numPr>
        <w:spacing w:after="0" w:line="240" w:lineRule="auto"/>
        <w:ind w:left="992" w:hanging="357"/>
        <w:contextualSpacing/>
        <w:rPr>
          <w:rFonts w:ascii="Titillium" w:hAnsi="Titillium"/>
          <w:sz w:val="20"/>
          <w:szCs w:val="20"/>
        </w:rPr>
      </w:pPr>
      <w:r>
        <w:rPr>
          <w:rFonts w:ascii="Titillium" w:hAnsi="Titillium"/>
          <w:sz w:val="20"/>
          <w:szCs w:val="20"/>
        </w:rPr>
        <w:t>P</w:t>
      </w:r>
      <w:r w:rsidR="00477D0C">
        <w:rPr>
          <w:rFonts w:ascii="Titillium" w:hAnsi="Titillium"/>
          <w:sz w:val="20"/>
          <w:szCs w:val="20"/>
        </w:rPr>
        <w:t xml:space="preserve">er gli </w:t>
      </w:r>
      <w:r w:rsidR="003C1E35">
        <w:rPr>
          <w:rFonts w:ascii="Titillium" w:hAnsi="Titillium"/>
          <w:sz w:val="20"/>
          <w:szCs w:val="20"/>
        </w:rPr>
        <w:t>“</w:t>
      </w:r>
      <w:r w:rsidR="00A06D9B">
        <w:rPr>
          <w:rFonts w:ascii="Titillium" w:hAnsi="Titillium"/>
          <w:sz w:val="20"/>
          <w:szCs w:val="20"/>
        </w:rPr>
        <w:t xml:space="preserve">Enti di diritto privato controllati”, le pubblicazioni riguardanti </w:t>
      </w:r>
      <w:r w:rsidR="00A06D9B" w:rsidRPr="00A06D9B">
        <w:rPr>
          <w:rFonts w:ascii="Titillium" w:hAnsi="Titillium"/>
          <w:sz w:val="20"/>
          <w:szCs w:val="20"/>
        </w:rPr>
        <w:t xml:space="preserve">EUCENTRE e CIMA sono </w:t>
      </w:r>
      <w:r w:rsidR="00A06D9B">
        <w:rPr>
          <w:rFonts w:ascii="Titillium" w:hAnsi="Titillium"/>
          <w:sz w:val="20"/>
          <w:szCs w:val="20"/>
        </w:rPr>
        <w:t xml:space="preserve">riportate </w:t>
      </w:r>
      <w:r w:rsidR="00A06D9B" w:rsidRPr="00A06D9B">
        <w:rPr>
          <w:rFonts w:ascii="Titillium" w:hAnsi="Titillium"/>
          <w:sz w:val="20"/>
          <w:szCs w:val="20"/>
        </w:rPr>
        <w:t xml:space="preserve">nella </w:t>
      </w:r>
      <w:r w:rsidR="00A06D9B">
        <w:rPr>
          <w:rFonts w:ascii="Titillium" w:hAnsi="Titillium"/>
          <w:sz w:val="20"/>
          <w:szCs w:val="20"/>
        </w:rPr>
        <w:t>apposita sottosezione della sezione “Amministrazione t</w:t>
      </w:r>
      <w:r w:rsidR="00A06D9B" w:rsidRPr="00A06D9B">
        <w:rPr>
          <w:rFonts w:ascii="Titillium" w:hAnsi="Titillium"/>
          <w:sz w:val="20"/>
          <w:szCs w:val="20"/>
        </w:rPr>
        <w:t>rasparen</w:t>
      </w:r>
      <w:r w:rsidR="00A06D9B">
        <w:rPr>
          <w:rFonts w:ascii="Titillium" w:hAnsi="Titillium"/>
          <w:sz w:val="20"/>
          <w:szCs w:val="20"/>
        </w:rPr>
        <w:t>te”</w:t>
      </w:r>
      <w:r w:rsidR="00A06D9B" w:rsidRPr="00A06D9B">
        <w:rPr>
          <w:rFonts w:ascii="Titillium" w:hAnsi="Titillium"/>
          <w:sz w:val="20"/>
          <w:szCs w:val="20"/>
        </w:rPr>
        <w:t xml:space="preserve"> del</w:t>
      </w:r>
      <w:r w:rsidR="00477D0C">
        <w:rPr>
          <w:rFonts w:ascii="Titillium" w:hAnsi="Titillium"/>
          <w:sz w:val="20"/>
          <w:szCs w:val="20"/>
        </w:rPr>
        <w:t xml:space="preserve"> Dipartimento p</w:t>
      </w:r>
      <w:r w:rsidR="00A06D9B" w:rsidRPr="00A06D9B">
        <w:rPr>
          <w:rFonts w:ascii="Titillium" w:hAnsi="Titillium"/>
          <w:sz w:val="20"/>
          <w:szCs w:val="20"/>
        </w:rPr>
        <w:t xml:space="preserve">rotezione </w:t>
      </w:r>
      <w:r w:rsidR="00477D0C">
        <w:rPr>
          <w:rFonts w:ascii="Titillium" w:hAnsi="Titillium"/>
          <w:sz w:val="20"/>
          <w:szCs w:val="20"/>
        </w:rPr>
        <w:t>c</w:t>
      </w:r>
      <w:r w:rsidR="00A06D9B" w:rsidRPr="00A06D9B">
        <w:rPr>
          <w:rFonts w:ascii="Titillium" w:hAnsi="Titillium"/>
          <w:sz w:val="20"/>
          <w:szCs w:val="20"/>
        </w:rPr>
        <w:t>ivile</w:t>
      </w:r>
      <w:r w:rsidR="00193993">
        <w:rPr>
          <w:rFonts w:ascii="Titillium" w:hAnsi="Titillium"/>
          <w:sz w:val="20"/>
          <w:szCs w:val="20"/>
        </w:rPr>
        <w:t xml:space="preserve"> (Dipartimento della PCM)</w:t>
      </w:r>
      <w:r w:rsidR="008136D5">
        <w:rPr>
          <w:rFonts w:ascii="Titillium" w:hAnsi="Titillium"/>
          <w:sz w:val="20"/>
          <w:szCs w:val="20"/>
        </w:rPr>
        <w:t xml:space="preserve"> tramite apposito </w:t>
      </w:r>
      <w:r w:rsidR="008136D5" w:rsidRPr="00477D0C">
        <w:rPr>
          <w:rFonts w:ascii="Titillium" w:hAnsi="Titillium"/>
          <w:i/>
          <w:sz w:val="20"/>
          <w:szCs w:val="20"/>
        </w:rPr>
        <w:t>link</w:t>
      </w:r>
      <w:r w:rsidR="008136D5">
        <w:rPr>
          <w:rFonts w:ascii="Titillium" w:hAnsi="Titillium"/>
          <w:sz w:val="20"/>
          <w:szCs w:val="20"/>
        </w:rPr>
        <w:t xml:space="preserve"> nella pagina “Enti controllati” di “Amministrazione trasparente</w:t>
      </w:r>
      <w:r w:rsidR="009A314B">
        <w:rPr>
          <w:rFonts w:ascii="Titillium" w:hAnsi="Titillium"/>
          <w:sz w:val="20"/>
          <w:szCs w:val="20"/>
        </w:rPr>
        <w:t>”</w:t>
      </w:r>
      <w:r w:rsidR="008136D5">
        <w:rPr>
          <w:rFonts w:ascii="Titillium" w:hAnsi="Titillium"/>
          <w:sz w:val="20"/>
          <w:szCs w:val="20"/>
        </w:rPr>
        <w:t xml:space="preserve"> della PCM</w:t>
      </w:r>
      <w:r>
        <w:rPr>
          <w:rFonts w:ascii="Titillium" w:hAnsi="Titillium"/>
          <w:sz w:val="20"/>
          <w:szCs w:val="20"/>
        </w:rPr>
        <w:t>.</w:t>
      </w:r>
      <w:r w:rsidR="008136D5">
        <w:rPr>
          <w:rFonts w:ascii="Titillium" w:hAnsi="Titillium"/>
          <w:sz w:val="20"/>
          <w:szCs w:val="20"/>
        </w:rPr>
        <w:t xml:space="preserve"> </w:t>
      </w:r>
    </w:p>
    <w:p w:rsidR="002B528E" w:rsidRDefault="002B528E" w:rsidP="00A5733C">
      <w:pPr>
        <w:spacing w:after="0" w:line="240" w:lineRule="auto"/>
        <w:ind w:left="993"/>
        <w:contextualSpacing/>
        <w:rPr>
          <w:rFonts w:ascii="Titillium" w:hAnsi="Titillium"/>
          <w:sz w:val="20"/>
          <w:szCs w:val="20"/>
        </w:rPr>
      </w:pPr>
    </w:p>
    <w:p w:rsidR="009A314B" w:rsidRDefault="00477D0C" w:rsidP="00A5733C">
      <w:pPr>
        <w:spacing w:after="0" w:line="240" w:lineRule="auto"/>
        <w:ind w:left="993"/>
        <w:contextualSpacing/>
        <w:rPr>
          <w:rFonts w:ascii="Titillium" w:hAnsi="Titillium"/>
          <w:sz w:val="20"/>
          <w:szCs w:val="20"/>
        </w:rPr>
      </w:pPr>
      <w:r w:rsidRPr="00477D0C">
        <w:rPr>
          <w:rFonts w:ascii="Titillium" w:hAnsi="Titillium"/>
          <w:sz w:val="20"/>
          <w:szCs w:val="20"/>
        </w:rPr>
        <w:t>Nella sottosezione in argomento della sezione “Amministrazione trasparente” della PCM non viene riportata la società “Sport e salute”</w:t>
      </w:r>
      <w:r w:rsidR="009A314B">
        <w:rPr>
          <w:rFonts w:ascii="Titillium" w:hAnsi="Titillium"/>
          <w:sz w:val="20"/>
          <w:szCs w:val="20"/>
        </w:rPr>
        <w:t>,</w:t>
      </w:r>
      <w:r w:rsidRPr="00477D0C">
        <w:rPr>
          <w:rFonts w:ascii="Titillium" w:hAnsi="Titillium"/>
          <w:sz w:val="20"/>
          <w:szCs w:val="20"/>
        </w:rPr>
        <w:t xml:space="preserve"> il cui intero capitale sociale è detenuto dal M</w:t>
      </w:r>
      <w:r w:rsidR="009A314B">
        <w:rPr>
          <w:rFonts w:ascii="Titillium" w:hAnsi="Titillium"/>
          <w:sz w:val="20"/>
          <w:szCs w:val="20"/>
        </w:rPr>
        <w:t>inistero dell’economia e delle finanze</w:t>
      </w:r>
      <w:r w:rsidRPr="00477D0C">
        <w:rPr>
          <w:rFonts w:ascii="Titillium" w:hAnsi="Titillium"/>
          <w:sz w:val="20"/>
          <w:szCs w:val="20"/>
        </w:rPr>
        <w:t>, sebbene alcune prerogative di legge siano riservate alla PCM</w:t>
      </w:r>
      <w:r w:rsidR="00870044">
        <w:rPr>
          <w:rFonts w:ascii="Titillium" w:hAnsi="Titillium"/>
          <w:sz w:val="20"/>
          <w:szCs w:val="20"/>
        </w:rPr>
        <w:t>. Infatti, i</w:t>
      </w:r>
      <w:r w:rsidR="009D113B" w:rsidRPr="009D113B">
        <w:rPr>
          <w:rFonts w:ascii="Titillium" w:hAnsi="Titillium"/>
          <w:sz w:val="20"/>
          <w:szCs w:val="20"/>
        </w:rPr>
        <w:t xml:space="preserve">l presidente </w:t>
      </w:r>
      <w:r w:rsidR="00642202">
        <w:rPr>
          <w:rFonts w:ascii="Titillium" w:hAnsi="Titillium"/>
          <w:sz w:val="20"/>
          <w:szCs w:val="20"/>
        </w:rPr>
        <w:t xml:space="preserve">della società </w:t>
      </w:r>
      <w:r w:rsidR="009D113B" w:rsidRPr="009D113B">
        <w:rPr>
          <w:rFonts w:ascii="Titillium" w:hAnsi="Titillium"/>
          <w:sz w:val="20"/>
          <w:szCs w:val="20"/>
        </w:rPr>
        <w:t>è nominato dall'autorità di Governo competente in materia di sport</w:t>
      </w:r>
      <w:r w:rsidR="00642202">
        <w:rPr>
          <w:rFonts w:ascii="Titillium" w:hAnsi="Titillium"/>
          <w:sz w:val="20"/>
          <w:szCs w:val="20"/>
        </w:rPr>
        <w:t>,</w:t>
      </w:r>
      <w:r w:rsidR="009D113B" w:rsidRPr="009D113B">
        <w:rPr>
          <w:rFonts w:ascii="Titillium" w:hAnsi="Titillium"/>
          <w:sz w:val="20"/>
          <w:szCs w:val="20"/>
        </w:rPr>
        <w:t xml:space="preserve"> previo parere delle Commissioni parlamentari competenti, ha la rappresentanza legale della società, presiede il consiglio di amministrazione di cui è componente e svolge le funzioni di amministratore </w:t>
      </w:r>
      <w:proofErr w:type="spellStart"/>
      <w:r w:rsidR="009D113B" w:rsidRPr="009D113B">
        <w:rPr>
          <w:rFonts w:ascii="Titillium" w:hAnsi="Titillium"/>
          <w:sz w:val="20"/>
          <w:szCs w:val="20"/>
        </w:rPr>
        <w:t>delegato</w:t>
      </w:r>
      <w:r w:rsidR="00084757">
        <w:rPr>
          <w:rFonts w:ascii="Titillium" w:hAnsi="Titillium"/>
          <w:sz w:val="20"/>
          <w:szCs w:val="20"/>
        </w:rPr>
        <w:t>.</w:t>
      </w:r>
      <w:r w:rsidR="00194532">
        <w:rPr>
          <w:rFonts w:ascii="Titillium" w:hAnsi="Titillium"/>
          <w:sz w:val="20"/>
          <w:szCs w:val="20"/>
        </w:rPr>
        <w:t>Ai</w:t>
      </w:r>
      <w:proofErr w:type="spellEnd"/>
      <w:r w:rsidR="00194532">
        <w:rPr>
          <w:rFonts w:ascii="Titillium" w:hAnsi="Titillium"/>
          <w:sz w:val="20"/>
          <w:szCs w:val="20"/>
        </w:rPr>
        <w:t xml:space="preserve"> fini dell’esercizio del controllo analogo a quello esercitato sui propri servizi, l’Autorità di Governo competente in materia di sport impartisce, annualmente, all’organo amministrativo della Società direttive pluriennali in ordine al programma di attività, all’organizzazione, alle politiche economiche, finanziarie e di sviluppo. Le direttive sono preventivamente comunicate all’azionista ai fini della verifica dei profili economici e finanziari (art. 17 dello Statuto della Società).    </w:t>
      </w:r>
    </w:p>
    <w:p w:rsidR="009A314B" w:rsidRDefault="009A314B" w:rsidP="00A5733C">
      <w:pPr>
        <w:spacing w:after="0" w:line="240" w:lineRule="auto"/>
        <w:ind w:left="993"/>
        <w:contextualSpacing/>
        <w:rPr>
          <w:rFonts w:ascii="Titillium" w:hAnsi="Titillium"/>
          <w:sz w:val="20"/>
          <w:szCs w:val="20"/>
        </w:rPr>
      </w:pPr>
    </w:p>
    <w:p w:rsidR="00194532" w:rsidRDefault="009A314B" w:rsidP="00A5733C">
      <w:pPr>
        <w:spacing w:after="0" w:line="240" w:lineRule="auto"/>
        <w:ind w:left="993"/>
        <w:contextualSpacing/>
        <w:rPr>
          <w:rFonts w:ascii="Titillium" w:hAnsi="Titillium"/>
          <w:sz w:val="20"/>
          <w:szCs w:val="20"/>
        </w:rPr>
      </w:pPr>
      <w:r>
        <w:rPr>
          <w:rFonts w:ascii="Titillium" w:hAnsi="Titillium"/>
          <w:sz w:val="20"/>
          <w:szCs w:val="20"/>
        </w:rPr>
        <w:t>Nella medesima sottosezione devono trovare collocazione le pubblicazioni relative a</w:t>
      </w:r>
      <w:r w:rsidR="000074A5">
        <w:rPr>
          <w:rFonts w:ascii="Titillium" w:hAnsi="Titillium"/>
          <w:sz w:val="20"/>
          <w:szCs w:val="20"/>
        </w:rPr>
        <w:t xml:space="preserve">lla </w:t>
      </w:r>
      <w:r w:rsidR="000074A5" w:rsidRPr="000074A5">
        <w:rPr>
          <w:rFonts w:ascii="Titillium" w:hAnsi="Titillium"/>
          <w:sz w:val="20"/>
          <w:szCs w:val="20"/>
        </w:rPr>
        <w:t>Fondazione per il futuro delle città</w:t>
      </w:r>
      <w:r w:rsidR="000074A5">
        <w:rPr>
          <w:rFonts w:ascii="Titillium" w:hAnsi="Titillium"/>
          <w:sz w:val="20"/>
          <w:szCs w:val="20"/>
        </w:rPr>
        <w:t>, attualmente inserita nella sottosezione “Enti pubblici vigilati”</w:t>
      </w:r>
      <w:r w:rsidR="00D711C1">
        <w:rPr>
          <w:rFonts w:ascii="Titillium" w:hAnsi="Titillium"/>
          <w:sz w:val="20"/>
          <w:szCs w:val="20"/>
        </w:rPr>
        <w:t>; l</w:t>
      </w:r>
      <w:r w:rsidR="0084793F">
        <w:rPr>
          <w:rFonts w:ascii="Titillium" w:hAnsi="Titillium"/>
          <w:sz w:val="20"/>
          <w:szCs w:val="20"/>
        </w:rPr>
        <w:t>a fondazione</w:t>
      </w:r>
      <w:r w:rsidR="0084793F" w:rsidRPr="0084793F">
        <w:rPr>
          <w:rFonts w:ascii="Titillium" w:hAnsi="Titillium"/>
          <w:sz w:val="20"/>
          <w:szCs w:val="20"/>
        </w:rPr>
        <w:t xml:space="preserve"> ha personalità giuridica privata</w:t>
      </w:r>
      <w:r w:rsidR="00D711C1">
        <w:rPr>
          <w:rFonts w:ascii="Titillium" w:hAnsi="Titillium"/>
          <w:sz w:val="20"/>
          <w:szCs w:val="20"/>
        </w:rPr>
        <w:t>; l</w:t>
      </w:r>
      <w:r w:rsidR="0084793F">
        <w:rPr>
          <w:rFonts w:ascii="Titillium" w:hAnsi="Titillium"/>
          <w:sz w:val="20"/>
          <w:szCs w:val="20"/>
        </w:rPr>
        <w:t xml:space="preserve">a </w:t>
      </w:r>
      <w:r w:rsidR="0084793F" w:rsidRPr="0084793F">
        <w:rPr>
          <w:rFonts w:ascii="Titillium" w:hAnsi="Titillium"/>
          <w:sz w:val="20"/>
          <w:szCs w:val="20"/>
        </w:rPr>
        <w:t>P</w:t>
      </w:r>
      <w:r w:rsidR="0084793F">
        <w:rPr>
          <w:rFonts w:ascii="Titillium" w:hAnsi="Titillium"/>
          <w:sz w:val="20"/>
          <w:szCs w:val="20"/>
        </w:rPr>
        <w:t>CM</w:t>
      </w:r>
      <w:r w:rsidR="0084793F" w:rsidRPr="0084793F">
        <w:rPr>
          <w:rFonts w:ascii="Titillium" w:hAnsi="Titillium"/>
          <w:sz w:val="20"/>
          <w:szCs w:val="20"/>
        </w:rPr>
        <w:t xml:space="preserve"> ne è membro fondatore (insieme al Ministero dell’economia e delle finanze, al Ministero dell’università e della ricerca e il Ministero della transizione ecologica)</w:t>
      </w:r>
      <w:r w:rsidR="0084793F">
        <w:rPr>
          <w:rFonts w:ascii="Titillium" w:hAnsi="Titillium"/>
          <w:sz w:val="20"/>
          <w:szCs w:val="20"/>
        </w:rPr>
        <w:t xml:space="preserve"> </w:t>
      </w:r>
      <w:r w:rsidR="0084793F" w:rsidRPr="0084793F">
        <w:rPr>
          <w:rFonts w:ascii="Titillium" w:hAnsi="Titillium"/>
          <w:sz w:val="20"/>
          <w:szCs w:val="20"/>
        </w:rPr>
        <w:t>ed esercita su di essa la vigilanza.</w:t>
      </w:r>
      <w:r w:rsidR="000074A5">
        <w:rPr>
          <w:rFonts w:ascii="Titillium" w:hAnsi="Titillium"/>
          <w:sz w:val="20"/>
          <w:szCs w:val="20"/>
        </w:rPr>
        <w:t xml:space="preserve"> </w:t>
      </w:r>
      <w:r w:rsidR="00194532">
        <w:rPr>
          <w:rFonts w:ascii="Titillium" w:hAnsi="Titillium"/>
          <w:sz w:val="20"/>
          <w:szCs w:val="20"/>
        </w:rPr>
        <w:t xml:space="preserve">Alla data di riferimento della presente attestazione la fondazione non aveva un proprio sito istituzionale e, pertanto, avrebbe </w:t>
      </w:r>
      <w:r w:rsidR="00194532">
        <w:rPr>
          <w:rFonts w:ascii="Titillium" w:hAnsi="Titillium"/>
          <w:sz w:val="20"/>
          <w:szCs w:val="20"/>
        </w:rPr>
        <w:lastRenderedPageBreak/>
        <w:t>dovuto effettuare le pubblicazioni, ove è previsto il link, inserendo i dati da pubblicare.</w:t>
      </w:r>
    </w:p>
    <w:p w:rsidR="00194532" w:rsidRDefault="00194532" w:rsidP="00A5733C">
      <w:pPr>
        <w:spacing w:after="0" w:line="240" w:lineRule="auto"/>
        <w:ind w:left="993"/>
        <w:contextualSpacing/>
        <w:rPr>
          <w:rFonts w:ascii="Titillium" w:hAnsi="Titillium"/>
          <w:sz w:val="20"/>
          <w:szCs w:val="20"/>
        </w:rPr>
      </w:pPr>
    </w:p>
    <w:p w:rsidR="009A314B" w:rsidRDefault="00194532" w:rsidP="00194532">
      <w:pPr>
        <w:spacing w:after="0" w:line="240" w:lineRule="auto"/>
        <w:contextualSpacing/>
        <w:rPr>
          <w:rFonts w:ascii="Titillium" w:hAnsi="Titillium"/>
          <w:sz w:val="20"/>
          <w:szCs w:val="20"/>
        </w:rPr>
      </w:pPr>
      <w:r>
        <w:rPr>
          <w:rFonts w:ascii="Titillium" w:hAnsi="Titillium"/>
          <w:sz w:val="20"/>
          <w:szCs w:val="20"/>
        </w:rPr>
        <w:t>Il Collegio ha stabilito, per prudenza, che valori anche di poco inferiori al 67% siano arrotondati al 66%</w:t>
      </w:r>
      <w:r w:rsidR="00650ACC">
        <w:rPr>
          <w:rFonts w:ascii="Titillium" w:hAnsi="Titillium"/>
          <w:sz w:val="20"/>
          <w:szCs w:val="20"/>
        </w:rPr>
        <w:t>, interpretando le istruzioni dell’ANAC in senso letterale ossia che il livello 3 scatti al 67%.</w:t>
      </w:r>
      <w:r>
        <w:rPr>
          <w:rFonts w:ascii="Titillium" w:hAnsi="Titillium"/>
          <w:sz w:val="20"/>
          <w:szCs w:val="20"/>
        </w:rPr>
        <w:t xml:space="preserve">    </w:t>
      </w:r>
      <w:r w:rsidR="009A314B">
        <w:rPr>
          <w:rFonts w:ascii="Titillium" w:hAnsi="Titillium"/>
          <w:sz w:val="20"/>
          <w:szCs w:val="20"/>
        </w:rPr>
        <w:t xml:space="preserve">   </w:t>
      </w:r>
    </w:p>
    <w:p w:rsidR="009A314B" w:rsidRDefault="009A314B" w:rsidP="00A5733C">
      <w:pPr>
        <w:spacing w:after="0" w:line="240" w:lineRule="auto"/>
        <w:ind w:left="993"/>
        <w:contextualSpacing/>
        <w:rPr>
          <w:rFonts w:ascii="Titillium" w:hAnsi="Titillium"/>
          <w:sz w:val="20"/>
          <w:szCs w:val="20"/>
        </w:rPr>
      </w:pPr>
    </w:p>
    <w:p w:rsidR="00B000B7" w:rsidRDefault="00B000B7" w:rsidP="005417E0">
      <w:pPr>
        <w:pStyle w:val="Paragrafoelenco"/>
        <w:spacing w:after="0" w:line="240" w:lineRule="auto"/>
        <w:ind w:left="0" w:firstLine="0"/>
        <w:contextualSpacing/>
        <w:rPr>
          <w:rFonts w:ascii="Titillium" w:hAnsi="Titillium"/>
          <w:sz w:val="20"/>
          <w:szCs w:val="20"/>
        </w:rPr>
      </w:pPr>
      <w:r>
        <w:rPr>
          <w:rFonts w:ascii="Titillium" w:hAnsi="Titillium"/>
          <w:sz w:val="20"/>
          <w:szCs w:val="20"/>
        </w:rPr>
        <w:t xml:space="preserve">Nella sottosezione “Rappresentazione grafica” viene riportata la rappresentazione grafica del “Comitato </w:t>
      </w:r>
      <w:r w:rsidR="000809C6">
        <w:rPr>
          <w:rFonts w:ascii="Titillium" w:hAnsi="Titillium"/>
          <w:sz w:val="20"/>
          <w:szCs w:val="20"/>
        </w:rPr>
        <w:t xml:space="preserve">italiano </w:t>
      </w:r>
      <w:r>
        <w:rPr>
          <w:rFonts w:ascii="Titillium" w:hAnsi="Titillium"/>
          <w:sz w:val="20"/>
          <w:szCs w:val="20"/>
        </w:rPr>
        <w:t xml:space="preserve">paralimpico (CIP)” sotto la </w:t>
      </w:r>
      <w:r w:rsidR="0084793F">
        <w:rPr>
          <w:rFonts w:ascii="Titillium" w:hAnsi="Titillium"/>
          <w:sz w:val="20"/>
          <w:szCs w:val="20"/>
        </w:rPr>
        <w:t xml:space="preserve">ulteriore sottosezione </w:t>
      </w:r>
      <w:r>
        <w:rPr>
          <w:rFonts w:ascii="Titillium" w:hAnsi="Titillium"/>
          <w:sz w:val="20"/>
          <w:szCs w:val="20"/>
        </w:rPr>
        <w:t>“Enti di diritto privato controllati”, sebbene la scheda in argomento ven</w:t>
      </w:r>
      <w:r w:rsidR="005417E0">
        <w:rPr>
          <w:rFonts w:ascii="Titillium" w:hAnsi="Titillium"/>
          <w:sz w:val="20"/>
          <w:szCs w:val="20"/>
        </w:rPr>
        <w:t>ga</w:t>
      </w:r>
      <w:r>
        <w:rPr>
          <w:rFonts w:ascii="Titillium" w:hAnsi="Titillium"/>
          <w:sz w:val="20"/>
          <w:szCs w:val="20"/>
        </w:rPr>
        <w:t xml:space="preserve"> riportata nella sottosezione “Enti pubblici vigilati”. </w:t>
      </w:r>
    </w:p>
    <w:p w:rsidR="0084793F" w:rsidRDefault="0084793F" w:rsidP="005417E0">
      <w:pPr>
        <w:pStyle w:val="Paragrafoelenco"/>
        <w:spacing w:after="0" w:line="240" w:lineRule="auto"/>
        <w:ind w:left="0" w:firstLine="0"/>
        <w:rPr>
          <w:rFonts w:ascii="Titillium" w:hAnsi="Titillium"/>
          <w:sz w:val="20"/>
          <w:szCs w:val="20"/>
        </w:rPr>
      </w:pPr>
    </w:p>
    <w:p w:rsidR="003E587F" w:rsidRDefault="00C77C14" w:rsidP="00A5733C">
      <w:pPr>
        <w:pStyle w:val="Paragrafoelenco"/>
        <w:spacing w:after="0" w:line="240" w:lineRule="auto"/>
        <w:ind w:left="0" w:firstLine="0"/>
        <w:contextualSpacing/>
        <w:rPr>
          <w:rFonts w:ascii="Titillium" w:hAnsi="Titillium"/>
          <w:sz w:val="20"/>
          <w:szCs w:val="20"/>
        </w:rPr>
      </w:pPr>
      <w:r>
        <w:rPr>
          <w:rFonts w:ascii="Titillium" w:hAnsi="Titillium"/>
          <w:sz w:val="20"/>
          <w:szCs w:val="20"/>
        </w:rPr>
        <w:t xml:space="preserve">Si dà seguito alle indicazioni del par. 4 della Delibera ANAC </w:t>
      </w:r>
      <w:r w:rsidR="00E42D02">
        <w:rPr>
          <w:rFonts w:ascii="Titillium" w:hAnsi="Titillium"/>
          <w:sz w:val="20"/>
          <w:szCs w:val="20"/>
        </w:rPr>
        <w:t xml:space="preserve">n. </w:t>
      </w:r>
      <w:r>
        <w:rPr>
          <w:rFonts w:ascii="Titillium" w:hAnsi="Titillium"/>
          <w:sz w:val="20"/>
          <w:szCs w:val="20"/>
        </w:rPr>
        <w:t>201/2022.</w:t>
      </w:r>
    </w:p>
    <w:p w:rsidR="00D711C1" w:rsidRDefault="00D711C1" w:rsidP="00A5733C">
      <w:pPr>
        <w:pStyle w:val="Paragrafoelenco"/>
        <w:spacing w:after="0" w:line="240" w:lineRule="auto"/>
        <w:ind w:left="0" w:firstLine="0"/>
        <w:contextualSpacing/>
        <w:rPr>
          <w:rFonts w:ascii="Titillium" w:hAnsi="Titillium"/>
          <w:sz w:val="20"/>
          <w:szCs w:val="20"/>
        </w:rPr>
      </w:pPr>
    </w:p>
    <w:p w:rsidR="00D711C1" w:rsidRDefault="00D711C1" w:rsidP="00A5733C">
      <w:pPr>
        <w:pStyle w:val="Paragrafoelenco"/>
        <w:spacing w:after="0" w:line="240" w:lineRule="auto"/>
        <w:ind w:left="0" w:firstLine="0"/>
        <w:contextualSpacing/>
        <w:rPr>
          <w:rFonts w:ascii="Titillium" w:hAnsi="Titillium"/>
          <w:sz w:val="20"/>
          <w:szCs w:val="20"/>
        </w:rPr>
      </w:pPr>
      <w:r>
        <w:rPr>
          <w:rFonts w:ascii="Titillium" w:hAnsi="Titillium"/>
          <w:sz w:val="20"/>
          <w:szCs w:val="20"/>
        </w:rPr>
        <w:t>Roma, 22 giugno 2022</w:t>
      </w:r>
    </w:p>
    <w:p w:rsidR="00E31865" w:rsidRDefault="00E31865" w:rsidP="00A5733C">
      <w:pPr>
        <w:pStyle w:val="Paragrafoelenco"/>
        <w:spacing w:after="0" w:line="240" w:lineRule="auto"/>
        <w:ind w:left="0" w:firstLine="0"/>
        <w:contextualSpacing/>
        <w:rPr>
          <w:rFonts w:ascii="Titillium" w:hAnsi="Titillium"/>
          <w:sz w:val="20"/>
          <w:szCs w:val="20"/>
        </w:rPr>
      </w:pPr>
    </w:p>
    <w:p w:rsidR="00E31865" w:rsidRDefault="00E31865" w:rsidP="00A5733C">
      <w:pPr>
        <w:tabs>
          <w:tab w:val="center" w:pos="4819"/>
          <w:tab w:val="right" w:pos="9638"/>
        </w:tabs>
        <w:spacing w:after="0" w:line="240" w:lineRule="auto"/>
        <w:rPr>
          <w:rFonts w:ascii="Titillium" w:hAnsi="Titillium"/>
          <w:sz w:val="20"/>
          <w:szCs w:val="20"/>
        </w:rPr>
      </w:pPr>
    </w:p>
    <w:p w:rsidR="00E31865" w:rsidRDefault="00E31865" w:rsidP="00A5733C">
      <w:pPr>
        <w:tabs>
          <w:tab w:val="center" w:pos="4819"/>
          <w:tab w:val="right" w:pos="9638"/>
        </w:tabs>
        <w:spacing w:after="0" w:line="240" w:lineRule="auto"/>
        <w:rPr>
          <w:rFonts w:ascii="Titillium" w:hAnsi="Titillium"/>
          <w:sz w:val="20"/>
        </w:rPr>
      </w:pPr>
    </w:p>
    <w:p w:rsidR="00E31865" w:rsidRPr="00043D28" w:rsidRDefault="00E31865" w:rsidP="00A5733C">
      <w:pPr>
        <w:tabs>
          <w:tab w:val="center" w:pos="4819"/>
          <w:tab w:val="right" w:pos="9638"/>
        </w:tabs>
        <w:spacing w:after="0" w:line="240" w:lineRule="auto"/>
        <w:jc w:val="center"/>
        <w:rPr>
          <w:rFonts w:ascii="Titillium" w:hAnsi="Titillium"/>
          <w:sz w:val="20"/>
        </w:rPr>
      </w:pPr>
      <w:r w:rsidRPr="00043D28">
        <w:rPr>
          <w:rFonts w:ascii="Titillium" w:hAnsi="Titillium"/>
          <w:sz w:val="20"/>
        </w:rPr>
        <w:t>F.to Cons. Patrizia De Rose</w:t>
      </w:r>
    </w:p>
    <w:p w:rsidR="00E31865" w:rsidRPr="00043D28" w:rsidRDefault="00E31865" w:rsidP="00A5733C">
      <w:pPr>
        <w:tabs>
          <w:tab w:val="center" w:pos="4819"/>
          <w:tab w:val="right" w:pos="9638"/>
        </w:tabs>
        <w:spacing w:after="0" w:line="240" w:lineRule="auto"/>
        <w:jc w:val="center"/>
        <w:rPr>
          <w:rFonts w:ascii="Titillium" w:hAnsi="Titillium"/>
          <w:sz w:val="20"/>
        </w:rPr>
      </w:pPr>
      <w:r w:rsidRPr="00043D28">
        <w:rPr>
          <w:rFonts w:ascii="Titillium" w:hAnsi="Titillium"/>
          <w:sz w:val="20"/>
        </w:rPr>
        <w:t>Presidente del Collegio di direzione dell’UCI</w:t>
      </w:r>
    </w:p>
    <w:p w:rsidR="00E31865" w:rsidRPr="00043D28" w:rsidRDefault="00E31865" w:rsidP="00A5733C">
      <w:pPr>
        <w:tabs>
          <w:tab w:val="center" w:pos="4819"/>
          <w:tab w:val="right" w:pos="9638"/>
        </w:tabs>
        <w:spacing w:after="0" w:line="240" w:lineRule="auto"/>
        <w:jc w:val="center"/>
        <w:rPr>
          <w:rFonts w:ascii="Titillium" w:hAnsi="Titillium"/>
          <w:sz w:val="20"/>
        </w:rPr>
      </w:pPr>
    </w:p>
    <w:p w:rsidR="00E31865" w:rsidRPr="00043D28" w:rsidRDefault="00E31865" w:rsidP="00A5733C">
      <w:pPr>
        <w:tabs>
          <w:tab w:val="center" w:pos="4819"/>
          <w:tab w:val="right" w:pos="9638"/>
        </w:tabs>
        <w:spacing w:after="0" w:line="240" w:lineRule="auto"/>
        <w:jc w:val="center"/>
        <w:rPr>
          <w:rFonts w:ascii="Titillium" w:hAnsi="Titillium"/>
          <w:sz w:val="20"/>
        </w:rPr>
      </w:pPr>
    </w:p>
    <w:p w:rsidR="00E31865" w:rsidRDefault="00E31865" w:rsidP="00A5733C">
      <w:pPr>
        <w:tabs>
          <w:tab w:val="center" w:pos="4819"/>
          <w:tab w:val="right" w:pos="9638"/>
        </w:tabs>
        <w:spacing w:after="0" w:line="240" w:lineRule="auto"/>
        <w:jc w:val="center"/>
        <w:rPr>
          <w:rFonts w:ascii="Titillium" w:hAnsi="Titillium"/>
          <w:sz w:val="20"/>
        </w:rPr>
      </w:pPr>
    </w:p>
    <w:p w:rsidR="00E31865" w:rsidRPr="00043D28" w:rsidRDefault="00E31865" w:rsidP="00A5733C">
      <w:pPr>
        <w:tabs>
          <w:tab w:val="center" w:pos="4819"/>
          <w:tab w:val="right" w:pos="9638"/>
        </w:tabs>
        <w:spacing w:after="0" w:line="240" w:lineRule="auto"/>
        <w:jc w:val="center"/>
        <w:rPr>
          <w:rFonts w:ascii="Titillium" w:hAnsi="Titillium"/>
          <w:sz w:val="20"/>
        </w:rPr>
      </w:pPr>
    </w:p>
    <w:p w:rsidR="00E31865" w:rsidRPr="00043D28" w:rsidRDefault="00E31865" w:rsidP="00A5733C">
      <w:pPr>
        <w:tabs>
          <w:tab w:val="center" w:pos="4819"/>
          <w:tab w:val="right" w:pos="9638"/>
        </w:tabs>
        <w:spacing w:after="0" w:line="240" w:lineRule="auto"/>
        <w:jc w:val="center"/>
        <w:rPr>
          <w:rFonts w:ascii="Titillium" w:hAnsi="Titillium"/>
          <w:sz w:val="20"/>
        </w:rPr>
      </w:pPr>
      <w:r w:rsidRPr="00043D28">
        <w:rPr>
          <w:rFonts w:ascii="Titillium" w:hAnsi="Titillium"/>
          <w:sz w:val="20"/>
        </w:rPr>
        <w:t>F.to Cons. Paolo Naccarato</w:t>
      </w:r>
    </w:p>
    <w:p w:rsidR="00E31865" w:rsidRDefault="00E31865" w:rsidP="00A5733C">
      <w:pPr>
        <w:tabs>
          <w:tab w:val="center" w:pos="4819"/>
          <w:tab w:val="right" w:pos="9638"/>
        </w:tabs>
        <w:spacing w:after="0" w:line="240" w:lineRule="auto"/>
        <w:jc w:val="center"/>
        <w:rPr>
          <w:rFonts w:ascii="Titillium" w:hAnsi="Titillium"/>
          <w:sz w:val="20"/>
        </w:rPr>
      </w:pPr>
      <w:r w:rsidRPr="00043D28">
        <w:rPr>
          <w:rFonts w:ascii="Titillium" w:hAnsi="Titillium"/>
          <w:sz w:val="20"/>
        </w:rPr>
        <w:t>Componente del Collegio di direzione dell’UCI</w:t>
      </w:r>
    </w:p>
    <w:p w:rsidR="00E31865" w:rsidRDefault="00E31865" w:rsidP="00A5733C">
      <w:pPr>
        <w:tabs>
          <w:tab w:val="center" w:pos="4819"/>
          <w:tab w:val="right" w:pos="9638"/>
        </w:tabs>
        <w:spacing w:after="0" w:line="240" w:lineRule="auto"/>
        <w:jc w:val="center"/>
        <w:rPr>
          <w:rFonts w:ascii="Titillium" w:hAnsi="Titillium"/>
          <w:sz w:val="20"/>
        </w:rPr>
      </w:pPr>
    </w:p>
    <w:p w:rsidR="00E31865" w:rsidRDefault="00E31865" w:rsidP="00A5733C">
      <w:pPr>
        <w:tabs>
          <w:tab w:val="center" w:pos="4819"/>
          <w:tab w:val="right" w:pos="9638"/>
        </w:tabs>
        <w:spacing w:after="0" w:line="240" w:lineRule="auto"/>
        <w:jc w:val="center"/>
        <w:rPr>
          <w:rFonts w:ascii="Titillium" w:hAnsi="Titillium"/>
          <w:sz w:val="20"/>
        </w:rPr>
      </w:pPr>
    </w:p>
    <w:p w:rsidR="00E31865" w:rsidRDefault="00E31865" w:rsidP="00A5733C">
      <w:pPr>
        <w:tabs>
          <w:tab w:val="center" w:pos="4819"/>
          <w:tab w:val="right" w:pos="9638"/>
        </w:tabs>
        <w:spacing w:after="0" w:line="240" w:lineRule="auto"/>
        <w:jc w:val="center"/>
        <w:rPr>
          <w:rFonts w:ascii="Titillium" w:hAnsi="Titillium"/>
          <w:sz w:val="20"/>
        </w:rPr>
      </w:pPr>
    </w:p>
    <w:p w:rsidR="00E31865" w:rsidRDefault="00E31865" w:rsidP="00A5733C">
      <w:pPr>
        <w:tabs>
          <w:tab w:val="center" w:pos="4819"/>
          <w:tab w:val="right" w:pos="9638"/>
        </w:tabs>
        <w:spacing w:after="0" w:line="240" w:lineRule="auto"/>
        <w:jc w:val="center"/>
        <w:rPr>
          <w:rFonts w:ascii="Titillium" w:hAnsi="Titillium"/>
          <w:sz w:val="20"/>
        </w:rPr>
      </w:pPr>
    </w:p>
    <w:p w:rsidR="00E31865" w:rsidRDefault="00E31865" w:rsidP="00A5733C">
      <w:pPr>
        <w:tabs>
          <w:tab w:val="center" w:pos="4819"/>
          <w:tab w:val="right" w:pos="9638"/>
        </w:tabs>
        <w:spacing w:after="0" w:line="240" w:lineRule="auto"/>
        <w:jc w:val="center"/>
        <w:rPr>
          <w:rFonts w:ascii="Titillium" w:hAnsi="Titillium"/>
          <w:sz w:val="20"/>
        </w:rPr>
      </w:pPr>
    </w:p>
    <w:p w:rsidR="00E31865" w:rsidRDefault="00E31865" w:rsidP="00A5733C">
      <w:pPr>
        <w:tabs>
          <w:tab w:val="center" w:pos="4819"/>
          <w:tab w:val="right" w:pos="9638"/>
        </w:tabs>
        <w:spacing w:after="0" w:line="240" w:lineRule="auto"/>
        <w:jc w:val="center"/>
        <w:rPr>
          <w:rFonts w:ascii="Titillium" w:hAnsi="Titillium"/>
          <w:sz w:val="20"/>
        </w:rPr>
      </w:pPr>
      <w:r>
        <w:rPr>
          <w:rFonts w:ascii="Titillium" w:hAnsi="Titillium"/>
          <w:sz w:val="20"/>
        </w:rPr>
        <w:t xml:space="preserve">F.to Simonetta Pasqua </w:t>
      </w:r>
    </w:p>
    <w:p w:rsidR="00E31865" w:rsidRDefault="00E31865" w:rsidP="00A5733C">
      <w:pPr>
        <w:tabs>
          <w:tab w:val="center" w:pos="4819"/>
          <w:tab w:val="right" w:pos="9638"/>
        </w:tabs>
        <w:spacing w:after="0" w:line="240" w:lineRule="auto"/>
        <w:jc w:val="center"/>
        <w:rPr>
          <w:rFonts w:ascii="Titillium" w:hAnsi="Titillium"/>
          <w:sz w:val="20"/>
        </w:rPr>
      </w:pPr>
      <w:r w:rsidRPr="00043D28">
        <w:rPr>
          <w:rFonts w:ascii="Titillium" w:hAnsi="Titillium"/>
          <w:sz w:val="20"/>
        </w:rPr>
        <w:t>Componente del Collegio di direzione dell’UCI</w:t>
      </w:r>
    </w:p>
    <w:p w:rsidR="00E31865" w:rsidRPr="00EF6694" w:rsidRDefault="00E31865" w:rsidP="00A5733C">
      <w:pPr>
        <w:pStyle w:val="Paragrafoelenco"/>
        <w:spacing w:after="0" w:line="240" w:lineRule="auto"/>
        <w:ind w:left="0" w:firstLine="0"/>
        <w:contextualSpacing/>
        <w:rPr>
          <w:rFonts w:ascii="Titillium" w:hAnsi="Titillium"/>
          <w:sz w:val="20"/>
          <w:szCs w:val="20"/>
        </w:rPr>
      </w:pPr>
    </w:p>
    <w:sectPr w:rsidR="00E31865" w:rsidRPr="00EF6694">
      <w:headerReference w:type="default" r:id="rId7"/>
      <w:footerReference w:type="default" r:id="rId8"/>
      <w:pgSz w:w="11906" w:h="16838"/>
      <w:pgMar w:top="1417" w:right="1134" w:bottom="708" w:left="1134" w:header="708"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AC7" w:rsidRDefault="00EE3AC7">
      <w:pPr>
        <w:spacing w:after="0" w:line="240" w:lineRule="auto"/>
      </w:pPr>
      <w:r>
        <w:separator/>
      </w:r>
    </w:p>
  </w:endnote>
  <w:endnote w:type="continuationSeparator" w:id="0">
    <w:p w:rsidR="00EE3AC7" w:rsidRDefault="00EE3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tillium">
    <w:altName w:val="Courier New"/>
    <w:panose1 w:val="00000000000000000000"/>
    <w:charset w:val="00"/>
    <w:family w:val="modern"/>
    <w:notTrueType/>
    <w:pitch w:val="variable"/>
    <w:sig w:usb0="00000001"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142457"/>
      <w:docPartObj>
        <w:docPartGallery w:val="Page Numbers (Bottom of Page)"/>
        <w:docPartUnique/>
      </w:docPartObj>
    </w:sdtPr>
    <w:sdtEndPr/>
    <w:sdtContent>
      <w:p w:rsidR="00ED7476" w:rsidRDefault="00ED7476">
        <w:pPr>
          <w:pStyle w:val="Pidipagina"/>
          <w:jc w:val="center"/>
        </w:pPr>
        <w:r>
          <w:fldChar w:fldCharType="begin"/>
        </w:r>
        <w:r>
          <w:instrText>PAGE   \* MERGEFORMAT</w:instrText>
        </w:r>
        <w:r>
          <w:fldChar w:fldCharType="separate"/>
        </w:r>
        <w:r>
          <w:t>2</w:t>
        </w:r>
        <w:r>
          <w:fldChar w:fldCharType="end"/>
        </w:r>
      </w:p>
    </w:sdtContent>
  </w:sdt>
  <w:p w:rsidR="00257242" w:rsidRDefault="002572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AC7" w:rsidRDefault="00EE3AC7">
      <w:pPr>
        <w:spacing w:after="0" w:line="240" w:lineRule="auto"/>
      </w:pPr>
      <w:r>
        <w:separator/>
      </w:r>
    </w:p>
  </w:footnote>
  <w:footnote w:type="continuationSeparator" w:id="0">
    <w:p w:rsidR="00EE3AC7" w:rsidRDefault="00EE3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06C" w:rsidRDefault="0085206C" w:rsidP="006E496C">
    <w:pPr>
      <w:pStyle w:val="Intestazione"/>
      <w:jc w:val="right"/>
      <w:rPr>
        <w:rFonts w:ascii="Garamond" w:hAnsi="Garamond"/>
        <w:b/>
      </w:rPr>
    </w:pPr>
    <w:r>
      <w:rPr>
        <w:noProof/>
        <w:lang w:eastAsia="it-IT"/>
      </w:rPr>
      <w:drawing>
        <wp:anchor distT="0" distB="0" distL="114300" distR="114300" simplePos="0" relativeHeight="251657728" behindDoc="0" locked="0" layoutInCell="1" allowOverlap="1" wp14:anchorId="687E4C92" wp14:editId="504C6424">
          <wp:simplePos x="0" y="0"/>
          <wp:positionH relativeFrom="margin">
            <wp:posOffset>-271780</wp:posOffset>
          </wp:positionH>
          <wp:positionV relativeFrom="topMargin">
            <wp:posOffset>453390</wp:posOffset>
          </wp:positionV>
          <wp:extent cx="2879725" cy="341630"/>
          <wp:effectExtent l="0" t="0" r="0" b="127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06C" w:rsidRDefault="0085206C" w:rsidP="006E496C">
    <w:pPr>
      <w:pStyle w:val="Intestazione"/>
      <w:jc w:val="right"/>
      <w:rPr>
        <w:rFonts w:ascii="Garamond" w:hAnsi="Garamond"/>
        <w:b/>
      </w:rPr>
    </w:pPr>
  </w:p>
  <w:p w:rsidR="0085206C" w:rsidRDefault="0085206C" w:rsidP="0085206C">
    <w:pPr>
      <w:pStyle w:val="Intestazione"/>
      <w:tabs>
        <w:tab w:val="left" w:pos="3878"/>
      </w:tabs>
      <w:rPr>
        <w:rFonts w:ascii="Garamond" w:hAnsi="Garamond"/>
        <w:b/>
      </w:rPr>
    </w:pPr>
    <w:r>
      <w:rPr>
        <w:rFonts w:ascii="Garamond" w:hAnsi="Garamond"/>
        <w:b/>
      </w:rPr>
      <w:tab/>
    </w:r>
    <w:r>
      <w:rPr>
        <w:rFonts w:ascii="Garamond" w:hAnsi="Garamond"/>
        <w:b/>
      </w:rPr>
      <w:tab/>
    </w:r>
  </w:p>
  <w:p w:rsidR="00C27B23" w:rsidRPr="000F2C0E" w:rsidRDefault="0048249A" w:rsidP="006E496C">
    <w:pPr>
      <w:pStyle w:val="Intestazione"/>
      <w:jc w:val="right"/>
      <w:rPr>
        <w:rFonts w:ascii="Titillium" w:hAnsi="Titillium" w:cs="Times New Roman"/>
        <w:b/>
        <w:sz w:val="20"/>
        <w:szCs w:val="20"/>
      </w:rPr>
    </w:pPr>
    <w:r w:rsidRPr="000F2C0E">
      <w:rPr>
        <w:rFonts w:ascii="Titillium" w:hAnsi="Titillium"/>
        <w:b/>
        <w:sz w:val="20"/>
        <w:szCs w:val="20"/>
      </w:rPr>
      <w:t xml:space="preserve">Allegato 3 alla </w:t>
    </w:r>
    <w:r w:rsidRPr="000F2C0E">
      <w:rPr>
        <w:rFonts w:ascii="Titillium" w:hAnsi="Titillium" w:cs="Times New Roman"/>
        <w:b/>
        <w:sz w:val="20"/>
        <w:szCs w:val="20"/>
      </w:rPr>
      <w:t>delibera</w:t>
    </w:r>
    <w:r w:rsidR="004833D5" w:rsidRPr="000F2C0E">
      <w:rPr>
        <w:rFonts w:ascii="Titillium" w:hAnsi="Titillium" w:cs="Times New Roman"/>
        <w:b/>
        <w:sz w:val="20"/>
        <w:szCs w:val="20"/>
      </w:rPr>
      <w:t xml:space="preserve"> ANAC</w:t>
    </w:r>
    <w:r w:rsidRPr="000F2C0E">
      <w:rPr>
        <w:rFonts w:ascii="Titillium" w:hAnsi="Titillium" w:cs="Times New Roman"/>
        <w:b/>
        <w:sz w:val="20"/>
        <w:szCs w:val="20"/>
      </w:rPr>
      <w:t xml:space="preserve"> n. </w:t>
    </w:r>
    <w:r w:rsidR="00506EFE">
      <w:rPr>
        <w:rFonts w:ascii="Titillium" w:hAnsi="Titillium" w:cs="Times New Roman"/>
        <w:b/>
        <w:sz w:val="20"/>
        <w:szCs w:val="20"/>
      </w:rPr>
      <w:t>201</w:t>
    </w:r>
    <w:r w:rsidRPr="000F2C0E">
      <w:rPr>
        <w:rFonts w:ascii="Titillium" w:hAnsi="Titillium" w:cs="Times New Roman"/>
        <w:b/>
        <w:sz w:val="20"/>
        <w:szCs w:val="20"/>
      </w:rPr>
      <w:t>/</w:t>
    </w:r>
    <w:r w:rsidR="009C05D1" w:rsidRPr="000F2C0E">
      <w:rPr>
        <w:rFonts w:ascii="Titillium" w:hAnsi="Titillium" w:cs="Times New Roman"/>
        <w:b/>
        <w:sz w:val="20"/>
        <w:szCs w:val="20"/>
      </w:rPr>
      <w:t>202</w:t>
    </w:r>
    <w:r w:rsidR="00257242">
      <w:rPr>
        <w:rFonts w:ascii="Titillium" w:hAnsi="Titillium" w:cs="Times New Roman"/>
        <w:b/>
        <w:sz w:val="20"/>
        <w:szCs w:val="20"/>
      </w:rPr>
      <w:t>2</w:t>
    </w:r>
  </w:p>
  <w:p w:rsidR="0085206C" w:rsidRDefault="0085206C" w:rsidP="006E496C">
    <w:pPr>
      <w:pStyle w:val="Intestazione"/>
      <w:jc w:val="right"/>
      <w:rPr>
        <w:rFonts w:ascii="Garamond" w:hAnsi="Garamond" w:cs="Times New Roman"/>
        <w:b/>
      </w:rPr>
    </w:pPr>
  </w:p>
  <w:p w:rsidR="0085206C" w:rsidRPr="006E496C" w:rsidRDefault="0085206C" w:rsidP="006E496C">
    <w:pPr>
      <w:pStyle w:val="Intestazione"/>
      <w:jc w:val="right"/>
      <w:rPr>
        <w:rFonts w:ascii="Garamond" w:hAnsi="Garamond"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31995"/>
    <w:multiLevelType w:val="hybridMultilevel"/>
    <w:tmpl w:val="1D1281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2B02D7"/>
    <w:multiLevelType w:val="multilevel"/>
    <w:tmpl w:val="56243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2" w15:restartNumberingAfterBreak="0">
    <w:nsid w:val="3E981BA1"/>
    <w:multiLevelType w:val="multilevel"/>
    <w:tmpl w:val="42B6B57E"/>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995052B"/>
    <w:multiLevelType w:val="hybridMultilevel"/>
    <w:tmpl w:val="09DED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665C85"/>
    <w:multiLevelType w:val="hybridMultilevel"/>
    <w:tmpl w:val="39560E16"/>
    <w:lvl w:ilvl="0" w:tplc="04100019">
      <w:start w:val="1"/>
      <w:numFmt w:val="lowerLetter"/>
      <w:lvlText w:val="%1."/>
      <w:lvlJc w:val="left"/>
      <w:pPr>
        <w:ind w:left="1495" w:hanging="360"/>
      </w:pPr>
      <w:rPr>
        <w:rFonts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6" w15:restartNumberingAfterBreak="0">
    <w:nsid w:val="6B7370CD"/>
    <w:multiLevelType w:val="hybridMultilevel"/>
    <w:tmpl w:val="9AA074B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AD5845"/>
    <w:multiLevelType w:val="hybridMultilevel"/>
    <w:tmpl w:val="419EBE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B274FF9"/>
    <w:multiLevelType w:val="hybridMultilevel"/>
    <w:tmpl w:val="4CD022FC"/>
    <w:lvl w:ilvl="0" w:tplc="77CA1D2A">
      <w:start w:val="3"/>
      <w:numFmt w:val="bullet"/>
      <w:lvlText w:val="-"/>
      <w:lvlJc w:val="left"/>
      <w:pPr>
        <w:ind w:left="720" w:hanging="360"/>
      </w:pPr>
      <w:rPr>
        <w:rFonts w:ascii="Garamond" w:eastAsia="Times New Roman" w:hAnsi="Garamond"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B5E20E4"/>
    <w:multiLevelType w:val="hybridMultilevel"/>
    <w:tmpl w:val="2A1A744C"/>
    <w:lvl w:ilvl="0" w:tplc="C6E61872">
      <w:numFmt w:val="bullet"/>
      <w:lvlText w:val="-"/>
      <w:lvlJc w:val="left"/>
      <w:pPr>
        <w:ind w:left="720" w:hanging="360"/>
      </w:pPr>
      <w:rPr>
        <w:rFonts w:ascii="Titillium" w:eastAsia="Times New Roman" w:hAnsi="Titillium"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8"/>
  </w:num>
  <w:num w:numId="5">
    <w:abstractNumId w:val="4"/>
  </w:num>
  <w:num w:numId="6">
    <w:abstractNumId w:val="7"/>
  </w:num>
  <w:num w:numId="7">
    <w:abstractNumId w:val="9"/>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B23"/>
    <w:rsid w:val="000074A5"/>
    <w:rsid w:val="00040F20"/>
    <w:rsid w:val="000809C6"/>
    <w:rsid w:val="00084757"/>
    <w:rsid w:val="00093F5B"/>
    <w:rsid w:val="000F2C0E"/>
    <w:rsid w:val="001237BD"/>
    <w:rsid w:val="0016468A"/>
    <w:rsid w:val="0018684A"/>
    <w:rsid w:val="00193993"/>
    <w:rsid w:val="00194532"/>
    <w:rsid w:val="0024134D"/>
    <w:rsid w:val="00257242"/>
    <w:rsid w:val="002806CE"/>
    <w:rsid w:val="002B528E"/>
    <w:rsid w:val="002C572E"/>
    <w:rsid w:val="00341ACB"/>
    <w:rsid w:val="003C1E35"/>
    <w:rsid w:val="003E1CF5"/>
    <w:rsid w:val="003E587F"/>
    <w:rsid w:val="0041405A"/>
    <w:rsid w:val="00416AD0"/>
    <w:rsid w:val="004246DE"/>
    <w:rsid w:val="00436F71"/>
    <w:rsid w:val="00477D0C"/>
    <w:rsid w:val="0048249A"/>
    <w:rsid w:val="004833D5"/>
    <w:rsid w:val="004E3C45"/>
    <w:rsid w:val="004F18CD"/>
    <w:rsid w:val="00506EFE"/>
    <w:rsid w:val="00540D3C"/>
    <w:rsid w:val="005417E0"/>
    <w:rsid w:val="00582687"/>
    <w:rsid w:val="0060106A"/>
    <w:rsid w:val="00606B37"/>
    <w:rsid w:val="00642202"/>
    <w:rsid w:val="00646902"/>
    <w:rsid w:val="00650ACC"/>
    <w:rsid w:val="006A3B9C"/>
    <w:rsid w:val="006E496C"/>
    <w:rsid w:val="007052EA"/>
    <w:rsid w:val="00713BFD"/>
    <w:rsid w:val="007471CA"/>
    <w:rsid w:val="007510F9"/>
    <w:rsid w:val="007A107C"/>
    <w:rsid w:val="0080777A"/>
    <w:rsid w:val="008136D5"/>
    <w:rsid w:val="00837860"/>
    <w:rsid w:val="0084793F"/>
    <w:rsid w:val="0085206C"/>
    <w:rsid w:val="00861FE1"/>
    <w:rsid w:val="00870044"/>
    <w:rsid w:val="008A0378"/>
    <w:rsid w:val="008D47B0"/>
    <w:rsid w:val="008D5AE8"/>
    <w:rsid w:val="009546D9"/>
    <w:rsid w:val="00955140"/>
    <w:rsid w:val="009A314B"/>
    <w:rsid w:val="009A5646"/>
    <w:rsid w:val="009C05D1"/>
    <w:rsid w:val="009C6FAC"/>
    <w:rsid w:val="009D113B"/>
    <w:rsid w:val="00A06D9B"/>
    <w:rsid w:val="00A52DF7"/>
    <w:rsid w:val="00A5733C"/>
    <w:rsid w:val="00AF790D"/>
    <w:rsid w:val="00B000B7"/>
    <w:rsid w:val="00BB4624"/>
    <w:rsid w:val="00C26BE4"/>
    <w:rsid w:val="00C27B23"/>
    <w:rsid w:val="00C32BE7"/>
    <w:rsid w:val="00C77C14"/>
    <w:rsid w:val="00CB40E4"/>
    <w:rsid w:val="00D27496"/>
    <w:rsid w:val="00D32044"/>
    <w:rsid w:val="00D55216"/>
    <w:rsid w:val="00D711C1"/>
    <w:rsid w:val="00E31865"/>
    <w:rsid w:val="00E42D02"/>
    <w:rsid w:val="00E75DAF"/>
    <w:rsid w:val="00ED7476"/>
    <w:rsid w:val="00EE3AC7"/>
    <w:rsid w:val="00EF6694"/>
    <w:rsid w:val="00F06C65"/>
    <w:rsid w:val="00F82CE6"/>
    <w:rsid w:val="00FC7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5782"/>
  <w15:docId w15:val="{56CB1834-868F-432B-9D79-8EB178F1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2"/>
      <w:sz w:val="14"/>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itoloCarattere">
    <w:name w:val="Titolo Carattere"/>
    <w:basedOn w:val="Carpredefinitoparagrafo"/>
    <w:rPr>
      <w:rFonts w:ascii="Times New Roman" w:eastAsia="Times New Roman" w:hAnsi="Times New Roman" w:cs="Times New Roman"/>
      <w:b/>
      <w:bCs/>
      <w:i/>
      <w:sz w:val="36"/>
      <w:szCs w:val="32"/>
      <w:lang w:eastAsia="ar-SA"/>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uiPriority w:val="99"/>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WWCharLFO13LVL1">
    <w:name w:val="WW_CharLFO13LVL1"/>
    <w:rPr>
      <w:rFonts w:ascii="Times New Roman" w:eastAsia="Times New Roman" w:hAnsi="Times New Roman" w:cs="Times New Roman"/>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WWCharLFO15LVL1">
    <w:name w:val="WW_CharLFO15LVL1"/>
    <w:rPr>
      <w:rFonts w:ascii="Times New Roman" w:eastAsia="Calibri" w:hAnsi="Times New Roman" w:cs="Times New Roman"/>
      <w:sz w:val="20"/>
    </w:rPr>
  </w:style>
  <w:style w:type="character" w:customStyle="1" w:styleId="WWCharLFO15LVL2">
    <w:name w:val="WW_CharLFO15LVL2"/>
    <w:rPr>
      <w:rFonts w:ascii="Courier New" w:hAnsi="Courier New" w:cs="Courier New"/>
    </w:rPr>
  </w:style>
  <w:style w:type="character" w:customStyle="1" w:styleId="WWCharLFO15LVL3">
    <w:name w:val="WW_CharLFO15LVL3"/>
    <w:rPr>
      <w:rFonts w:ascii="Wingdings" w:hAnsi="Wingdings"/>
    </w:rPr>
  </w:style>
  <w:style w:type="character" w:customStyle="1" w:styleId="WWCharLFO15LVL4">
    <w:name w:val="WW_CharLFO15LVL4"/>
    <w:rPr>
      <w:rFonts w:ascii="Symbol" w:hAnsi="Symbol"/>
    </w:rPr>
  </w:style>
  <w:style w:type="character" w:customStyle="1" w:styleId="WWCharLFO15LVL5">
    <w:name w:val="WW_CharLFO15LVL5"/>
    <w:rPr>
      <w:rFonts w:ascii="Courier New" w:hAnsi="Courier New" w:cs="Courier New"/>
    </w:rPr>
  </w:style>
  <w:style w:type="character" w:customStyle="1" w:styleId="WWCharLFO15LVL6">
    <w:name w:val="WW_CharLFO15LVL6"/>
    <w:rPr>
      <w:rFonts w:ascii="Wingdings" w:hAnsi="Wingdings"/>
    </w:rPr>
  </w:style>
  <w:style w:type="character" w:customStyle="1" w:styleId="WWCharLFO15LVL7">
    <w:name w:val="WW_CharLFO15LVL7"/>
    <w:rPr>
      <w:rFonts w:ascii="Symbol" w:hAnsi="Symbol"/>
    </w:rPr>
  </w:style>
  <w:style w:type="character" w:customStyle="1" w:styleId="WWCharLFO15LVL8">
    <w:name w:val="WW_CharLFO15LVL8"/>
    <w:rPr>
      <w:rFonts w:ascii="Courier New" w:hAnsi="Courier New" w:cs="Courier New"/>
    </w:rPr>
  </w:style>
  <w:style w:type="character" w:customStyle="1" w:styleId="WWCharLFO15LVL9">
    <w:name w:val="WW_CharLFO15LVL9"/>
    <w:rPr>
      <w:rFonts w:ascii="Wingdings" w:hAnsi="Wingdings"/>
    </w:rPr>
  </w:style>
  <w:style w:type="character" w:customStyle="1" w:styleId="Caratteredellanota">
    <w:name w:val="Carattere della nota"/>
  </w:style>
  <w:style w:type="paragraph" w:styleId="Testonotaapidipagina">
    <w:name w:val="footnote text"/>
    <w:basedOn w:val="Normale"/>
  </w:style>
  <w:style w:type="paragraph" w:styleId="Paragrafoelenco">
    <w:name w:val="List Paragraph"/>
    <w:basedOn w:val="Normale"/>
    <w:pPr>
      <w:ind w:left="357" w:hanging="357"/>
    </w:pPr>
  </w:style>
  <w:style w:type="paragraph" w:styleId="Titolo">
    <w:name w:val="Title"/>
    <w:basedOn w:val="Normale"/>
    <w:next w:val="Normale"/>
    <w:autoRedefine/>
    <w:pPr>
      <w:numPr>
        <w:numId w:val="1"/>
      </w:numPr>
      <w:spacing w:before="240" w:after="240"/>
      <w:jc w:val="center"/>
      <w:outlineLvl w:val="0"/>
    </w:pPr>
    <w:rPr>
      <w:rFonts w:cs="Times New Roman"/>
      <w:b/>
      <w:bCs/>
      <w:i/>
      <w:sz w:val="36"/>
      <w:szCs w:val="32"/>
    </w:rPr>
  </w:style>
  <w:style w:type="paragraph" w:customStyle="1" w:styleId="Corpodeltesto">
    <w:name w:val="Corpo del testo"/>
    <w:basedOn w:val="Normale"/>
  </w:style>
  <w:style w:type="paragraph" w:styleId="Intestazione">
    <w:name w:val="header"/>
    <w:basedOn w:val="Normale"/>
    <w:pPr>
      <w:tabs>
        <w:tab w:val="center" w:pos="4819"/>
        <w:tab w:val="right" w:pos="9638"/>
      </w:tabs>
      <w:spacing w:after="0"/>
    </w:pPr>
  </w:style>
  <w:style w:type="paragraph" w:styleId="Pidipagina">
    <w:name w:val="footer"/>
    <w:basedOn w:val="Normale"/>
    <w:uiPriority w:val="99"/>
    <w:pPr>
      <w:tabs>
        <w:tab w:val="center" w:pos="4819"/>
        <w:tab w:val="right" w:pos="9638"/>
      </w:tabs>
      <w:spacing w:after="0"/>
    </w:pPr>
  </w:style>
  <w:style w:type="paragraph" w:customStyle="1" w:styleId="Default">
    <w:name w:val="Default"/>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23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1114</Words>
  <Characters>6354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i.siciliani</dc:creator>
  <cp:lastModifiedBy>Cioncoloni Marina</cp:lastModifiedBy>
  <cp:revision>3</cp:revision>
  <cp:lastPrinted>2022-06-27T09:37:00Z</cp:lastPrinted>
  <dcterms:created xsi:type="dcterms:W3CDTF">2022-06-28T13:37:00Z</dcterms:created>
  <dcterms:modified xsi:type="dcterms:W3CDTF">2022-06-28T13:37:00Z</dcterms:modified>
</cp:coreProperties>
</file>